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AED" w:rsidRDefault="00F3211B" w:rsidP="00FE48F8">
      <w:pPr>
        <w:autoSpaceDE w:val="0"/>
        <w:autoSpaceDN w:val="0"/>
        <w:spacing w:before="240" w:after="0" w:line="240" w:lineRule="auto"/>
        <w:ind w:left="-142"/>
        <w:jc w:val="center"/>
        <w:rPr>
          <w:rFonts w:ascii="Times New Roman" w:eastAsiaTheme="minorEastAsia" w:hAnsi="Times New Roman" w:cs="Times New Roman"/>
          <w:b/>
          <w:bCs/>
          <w:sz w:val="26"/>
          <w:szCs w:val="26"/>
          <w:lang w:eastAsia="ru-RU"/>
        </w:rPr>
      </w:pPr>
      <w:r w:rsidRPr="00F3211B">
        <w:rPr>
          <w:rFonts w:ascii="Times New Roman" w:eastAsiaTheme="minorEastAsia" w:hAnsi="Times New Roman" w:cs="Times New Roman"/>
          <w:b/>
          <w:bCs/>
          <w:sz w:val="26"/>
          <w:szCs w:val="26"/>
          <w:lang w:eastAsia="ru-RU"/>
        </w:rPr>
        <w:t>Сообщение</w:t>
      </w:r>
      <w:r w:rsidR="00F94E85">
        <w:rPr>
          <w:rFonts w:ascii="Times New Roman" w:eastAsiaTheme="minorEastAsia" w:hAnsi="Times New Roman" w:cs="Times New Roman"/>
          <w:b/>
          <w:bCs/>
          <w:sz w:val="26"/>
          <w:szCs w:val="26"/>
          <w:lang w:eastAsia="ru-RU"/>
        </w:rPr>
        <w:t xml:space="preserve"> о</w:t>
      </w:r>
      <w:r w:rsidR="00F1254D">
        <w:rPr>
          <w:rFonts w:ascii="Times New Roman" w:eastAsiaTheme="minorEastAsia" w:hAnsi="Times New Roman" w:cs="Times New Roman"/>
          <w:b/>
          <w:bCs/>
          <w:sz w:val="26"/>
          <w:szCs w:val="26"/>
          <w:lang w:eastAsia="ru-RU"/>
        </w:rPr>
        <w:t xml:space="preserve"> </w:t>
      </w:r>
      <w:r w:rsidR="006C5AED">
        <w:rPr>
          <w:rFonts w:ascii="Times New Roman" w:eastAsiaTheme="minorEastAsia" w:hAnsi="Times New Roman" w:cs="Times New Roman"/>
          <w:b/>
          <w:bCs/>
          <w:sz w:val="26"/>
          <w:szCs w:val="26"/>
          <w:lang w:eastAsia="ru-RU"/>
        </w:rPr>
        <w:t>существенном факте</w:t>
      </w:r>
    </w:p>
    <w:p w:rsidR="00FE48F8" w:rsidRDefault="006C5AED" w:rsidP="00FE48F8">
      <w:pPr>
        <w:autoSpaceDE w:val="0"/>
        <w:autoSpaceDN w:val="0"/>
        <w:spacing w:before="240" w:after="0" w:line="240" w:lineRule="auto"/>
        <w:ind w:left="-142"/>
        <w:jc w:val="center"/>
        <w:rPr>
          <w:rFonts w:ascii="Times New Roman" w:eastAsiaTheme="minorEastAsia" w:hAnsi="Times New Roman" w:cs="Times New Roman"/>
          <w:b/>
          <w:bCs/>
          <w:sz w:val="26"/>
          <w:szCs w:val="26"/>
          <w:lang w:eastAsia="ru-RU"/>
        </w:rPr>
      </w:pPr>
      <w:r>
        <w:rPr>
          <w:rFonts w:ascii="Times New Roman" w:eastAsiaTheme="minorEastAsia" w:hAnsi="Times New Roman" w:cs="Times New Roman"/>
          <w:b/>
          <w:bCs/>
          <w:sz w:val="26"/>
          <w:szCs w:val="26"/>
          <w:lang w:eastAsia="ru-RU"/>
        </w:rPr>
        <w:t>«</w:t>
      </w:r>
      <w:r w:rsidR="000B61AD">
        <w:rPr>
          <w:rFonts w:ascii="Times New Roman" w:eastAsiaTheme="minorEastAsia" w:hAnsi="Times New Roman" w:cs="Times New Roman"/>
          <w:b/>
          <w:bCs/>
          <w:sz w:val="26"/>
          <w:szCs w:val="26"/>
          <w:lang w:eastAsia="ru-RU"/>
        </w:rPr>
        <w:t>Об отдельных р</w:t>
      </w:r>
      <w:r w:rsidR="005342DA" w:rsidRPr="005342DA">
        <w:rPr>
          <w:rFonts w:ascii="Times New Roman" w:eastAsiaTheme="minorEastAsia" w:hAnsi="Times New Roman" w:cs="Times New Roman"/>
          <w:b/>
          <w:bCs/>
          <w:sz w:val="26"/>
          <w:szCs w:val="26"/>
          <w:lang w:eastAsia="ru-RU"/>
        </w:rPr>
        <w:t>ешения</w:t>
      </w:r>
      <w:r w:rsidR="000B61AD">
        <w:rPr>
          <w:rFonts w:ascii="Times New Roman" w:eastAsiaTheme="minorEastAsia" w:hAnsi="Times New Roman" w:cs="Times New Roman"/>
          <w:b/>
          <w:bCs/>
          <w:sz w:val="26"/>
          <w:szCs w:val="26"/>
          <w:lang w:eastAsia="ru-RU"/>
        </w:rPr>
        <w:t>х, принятых</w:t>
      </w:r>
      <w:r w:rsidR="005342DA" w:rsidRPr="005342DA">
        <w:rPr>
          <w:rFonts w:ascii="Times New Roman" w:eastAsiaTheme="minorEastAsia" w:hAnsi="Times New Roman" w:cs="Times New Roman"/>
          <w:b/>
          <w:bCs/>
          <w:sz w:val="26"/>
          <w:szCs w:val="26"/>
          <w:lang w:eastAsia="ru-RU"/>
        </w:rPr>
        <w:t xml:space="preserve"> </w:t>
      </w:r>
      <w:r w:rsidR="000B61AD" w:rsidRPr="005342DA">
        <w:rPr>
          <w:rFonts w:ascii="Times New Roman" w:eastAsiaTheme="minorEastAsia" w:hAnsi="Times New Roman" w:cs="Times New Roman"/>
          <w:b/>
          <w:bCs/>
          <w:sz w:val="26"/>
          <w:szCs w:val="26"/>
          <w:lang w:eastAsia="ru-RU"/>
        </w:rPr>
        <w:t>совет</w:t>
      </w:r>
      <w:r w:rsidR="000B61AD">
        <w:rPr>
          <w:rFonts w:ascii="Times New Roman" w:eastAsiaTheme="minorEastAsia" w:hAnsi="Times New Roman" w:cs="Times New Roman"/>
          <w:b/>
          <w:bCs/>
          <w:sz w:val="26"/>
          <w:szCs w:val="26"/>
          <w:lang w:eastAsia="ru-RU"/>
        </w:rPr>
        <w:t>ом</w:t>
      </w:r>
      <w:r w:rsidR="000B61AD" w:rsidRPr="005342DA">
        <w:rPr>
          <w:rFonts w:ascii="Times New Roman" w:eastAsiaTheme="minorEastAsia" w:hAnsi="Times New Roman" w:cs="Times New Roman"/>
          <w:b/>
          <w:bCs/>
          <w:sz w:val="26"/>
          <w:szCs w:val="26"/>
          <w:lang w:eastAsia="ru-RU"/>
        </w:rPr>
        <w:t xml:space="preserve"> </w:t>
      </w:r>
      <w:r w:rsidR="005342DA" w:rsidRPr="005342DA">
        <w:rPr>
          <w:rFonts w:ascii="Times New Roman" w:eastAsiaTheme="minorEastAsia" w:hAnsi="Times New Roman" w:cs="Times New Roman"/>
          <w:b/>
          <w:bCs/>
          <w:sz w:val="26"/>
          <w:szCs w:val="26"/>
          <w:lang w:eastAsia="ru-RU"/>
        </w:rPr>
        <w:t xml:space="preserve">директоров </w:t>
      </w:r>
      <w:r w:rsidR="000B61AD">
        <w:rPr>
          <w:rFonts w:ascii="Times New Roman" w:eastAsiaTheme="minorEastAsia" w:hAnsi="Times New Roman" w:cs="Times New Roman"/>
          <w:b/>
          <w:bCs/>
          <w:sz w:val="26"/>
          <w:szCs w:val="26"/>
          <w:lang w:eastAsia="ru-RU"/>
        </w:rPr>
        <w:t>эмитента</w:t>
      </w:r>
      <w:r>
        <w:rPr>
          <w:rFonts w:ascii="Times New Roman" w:eastAsiaTheme="minorEastAsia" w:hAnsi="Times New Roman" w:cs="Times New Roman"/>
          <w:b/>
          <w:bCs/>
          <w:sz w:val="26"/>
          <w:szCs w:val="26"/>
          <w:lang w:eastAsia="ru-RU"/>
        </w:rPr>
        <w:t>»</w:t>
      </w:r>
    </w:p>
    <w:p w:rsidR="006C5AED" w:rsidRPr="00E15092" w:rsidRDefault="006C5AED" w:rsidP="00FE48F8">
      <w:pPr>
        <w:autoSpaceDE w:val="0"/>
        <w:autoSpaceDN w:val="0"/>
        <w:spacing w:before="240" w:after="0" w:line="240" w:lineRule="auto"/>
        <w:ind w:left="-142"/>
        <w:jc w:val="center"/>
        <w:rPr>
          <w:rFonts w:ascii="Times New Roman" w:eastAsiaTheme="minorEastAsia" w:hAnsi="Times New Roman" w:cs="Times New Roman"/>
          <w:sz w:val="20"/>
          <w:szCs w:val="20"/>
          <w:lang w:eastAsia="ru-RU"/>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33"/>
        <w:gridCol w:w="4734"/>
      </w:tblGrid>
      <w:tr w:rsidR="00F3211B" w:rsidRPr="00F3211B" w:rsidTr="001D6343">
        <w:trPr>
          <w:cantSplit/>
        </w:trPr>
        <w:tc>
          <w:tcPr>
            <w:tcW w:w="9667" w:type="dxa"/>
            <w:gridSpan w:val="2"/>
          </w:tcPr>
          <w:p w:rsidR="00F3211B" w:rsidRPr="00F3211B" w:rsidRDefault="00F3211B" w:rsidP="00F3211B">
            <w:pPr>
              <w:autoSpaceDE w:val="0"/>
              <w:autoSpaceDN w:val="0"/>
              <w:spacing w:after="0" w:line="240" w:lineRule="auto"/>
              <w:jc w:val="center"/>
              <w:rPr>
                <w:rFonts w:ascii="Times New Roman" w:eastAsiaTheme="minorEastAsia" w:hAnsi="Times New Roman" w:cs="Times New Roman"/>
                <w:sz w:val="24"/>
                <w:szCs w:val="24"/>
                <w:lang w:eastAsia="ru-RU"/>
              </w:rPr>
            </w:pPr>
            <w:r w:rsidRPr="00F3211B">
              <w:rPr>
                <w:rFonts w:ascii="Times New Roman" w:eastAsiaTheme="minorEastAsia" w:hAnsi="Times New Roman" w:cs="Times New Roman"/>
                <w:sz w:val="24"/>
                <w:szCs w:val="24"/>
                <w:lang w:eastAsia="ru-RU"/>
              </w:rPr>
              <w:t>1. Общие сведения</w:t>
            </w:r>
          </w:p>
        </w:tc>
      </w:tr>
      <w:tr w:rsidR="00F3211B" w:rsidRPr="00F3211B" w:rsidTr="001D6343">
        <w:tc>
          <w:tcPr>
            <w:tcW w:w="4933" w:type="dxa"/>
          </w:tcPr>
          <w:p w:rsidR="00F3211B" w:rsidRPr="00F3211B" w:rsidRDefault="00F3211B" w:rsidP="00F3211B">
            <w:pPr>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F3211B">
              <w:rPr>
                <w:rFonts w:ascii="Times New Roman" w:eastAsiaTheme="minorEastAsia" w:hAnsi="Times New Roman" w:cs="Times New Roman"/>
                <w:sz w:val="24"/>
                <w:szCs w:val="24"/>
                <w:lang w:eastAsia="ru-RU"/>
              </w:rPr>
              <w:t>1.1. Полное фирменное наименование эмитента (для некоммерческой организации – наименование)</w:t>
            </w:r>
          </w:p>
        </w:tc>
        <w:tc>
          <w:tcPr>
            <w:tcW w:w="4734" w:type="dxa"/>
          </w:tcPr>
          <w:p w:rsidR="00F3211B" w:rsidRPr="00F3211B" w:rsidRDefault="00C20DE8" w:rsidP="00F3211B">
            <w:pPr>
              <w:autoSpaceDE w:val="0"/>
              <w:autoSpaceDN w:val="0"/>
              <w:spacing w:after="0" w:line="240" w:lineRule="auto"/>
              <w:ind w:left="57" w:right="5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Публичное</w:t>
            </w:r>
            <w:r w:rsidR="00F3211B" w:rsidRPr="00F3211B">
              <w:rPr>
                <w:rFonts w:ascii="Times New Roman" w:eastAsiaTheme="minorEastAsia" w:hAnsi="Times New Roman" w:cs="Times New Roman"/>
                <w:sz w:val="24"/>
                <w:szCs w:val="24"/>
                <w:lang w:eastAsia="ru-RU"/>
              </w:rPr>
              <w:t xml:space="preserve"> акционерное общество энергетики и электрификации </w:t>
            </w:r>
            <w:r w:rsidR="00701D8F">
              <w:rPr>
                <w:rFonts w:ascii="Times New Roman" w:eastAsiaTheme="minorEastAsia" w:hAnsi="Times New Roman" w:cs="Times New Roman"/>
                <w:sz w:val="24"/>
                <w:szCs w:val="24"/>
                <w:lang w:eastAsia="ru-RU"/>
              </w:rPr>
              <w:t>«</w:t>
            </w:r>
            <w:r w:rsidR="00F3211B" w:rsidRPr="00F3211B">
              <w:rPr>
                <w:rFonts w:ascii="Times New Roman" w:eastAsiaTheme="minorEastAsia" w:hAnsi="Times New Roman" w:cs="Times New Roman"/>
                <w:sz w:val="24"/>
                <w:szCs w:val="24"/>
                <w:lang w:eastAsia="ru-RU"/>
              </w:rPr>
              <w:t>Севкавказэнерго</w:t>
            </w:r>
            <w:r w:rsidR="00701D8F">
              <w:rPr>
                <w:rFonts w:ascii="Times New Roman" w:eastAsiaTheme="minorEastAsia" w:hAnsi="Times New Roman" w:cs="Times New Roman"/>
                <w:sz w:val="24"/>
                <w:szCs w:val="24"/>
                <w:lang w:eastAsia="ru-RU"/>
              </w:rPr>
              <w:t>»</w:t>
            </w:r>
          </w:p>
        </w:tc>
      </w:tr>
      <w:tr w:rsidR="00F3211B" w:rsidRPr="00F3211B" w:rsidTr="001D6343">
        <w:tc>
          <w:tcPr>
            <w:tcW w:w="4933" w:type="dxa"/>
          </w:tcPr>
          <w:p w:rsidR="00F3211B" w:rsidRPr="00F3211B" w:rsidRDefault="00F3211B" w:rsidP="00F3211B">
            <w:pPr>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F3211B">
              <w:rPr>
                <w:rFonts w:ascii="Times New Roman" w:eastAsiaTheme="minorEastAsia" w:hAnsi="Times New Roman" w:cs="Times New Roman"/>
                <w:sz w:val="24"/>
                <w:szCs w:val="24"/>
                <w:lang w:eastAsia="ru-RU"/>
              </w:rPr>
              <w:t>1.2. Сокращенное фирменное наименование эмитента</w:t>
            </w:r>
          </w:p>
        </w:tc>
        <w:tc>
          <w:tcPr>
            <w:tcW w:w="4734" w:type="dxa"/>
          </w:tcPr>
          <w:p w:rsidR="00F3211B" w:rsidRPr="00F3211B" w:rsidRDefault="00C20DE8" w:rsidP="00701D8F">
            <w:pPr>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00F3211B" w:rsidRPr="00F3211B">
              <w:rPr>
                <w:rFonts w:ascii="Times New Roman" w:eastAsiaTheme="minorEastAsia" w:hAnsi="Times New Roman" w:cs="Times New Roman"/>
                <w:sz w:val="24"/>
                <w:szCs w:val="24"/>
                <w:lang w:eastAsia="ru-RU"/>
              </w:rPr>
              <w:t xml:space="preserve">АО </w:t>
            </w:r>
            <w:r w:rsidR="00701D8F">
              <w:rPr>
                <w:rFonts w:ascii="Times New Roman" w:eastAsiaTheme="minorEastAsia" w:hAnsi="Times New Roman" w:cs="Times New Roman"/>
                <w:sz w:val="24"/>
                <w:szCs w:val="24"/>
                <w:lang w:eastAsia="ru-RU"/>
              </w:rPr>
              <w:t>«</w:t>
            </w:r>
            <w:r w:rsidR="00F3211B" w:rsidRPr="00F3211B">
              <w:rPr>
                <w:rFonts w:ascii="Times New Roman" w:eastAsiaTheme="minorEastAsia" w:hAnsi="Times New Roman" w:cs="Times New Roman"/>
                <w:sz w:val="24"/>
                <w:szCs w:val="24"/>
                <w:lang w:eastAsia="ru-RU"/>
              </w:rPr>
              <w:t>Севкавказэнерго</w:t>
            </w:r>
            <w:r w:rsidR="00701D8F">
              <w:rPr>
                <w:rFonts w:ascii="Times New Roman" w:eastAsiaTheme="minorEastAsia" w:hAnsi="Times New Roman" w:cs="Times New Roman"/>
                <w:sz w:val="24"/>
                <w:szCs w:val="24"/>
                <w:lang w:eastAsia="ru-RU"/>
              </w:rPr>
              <w:t>»</w:t>
            </w:r>
          </w:p>
        </w:tc>
      </w:tr>
      <w:tr w:rsidR="00F3211B" w:rsidRPr="00F3211B" w:rsidTr="001D6343">
        <w:tc>
          <w:tcPr>
            <w:tcW w:w="4933" w:type="dxa"/>
          </w:tcPr>
          <w:p w:rsidR="00F3211B" w:rsidRPr="00F3211B" w:rsidRDefault="00F3211B" w:rsidP="00F3211B">
            <w:pPr>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F3211B">
              <w:rPr>
                <w:rFonts w:ascii="Times New Roman" w:eastAsiaTheme="minorEastAsia" w:hAnsi="Times New Roman" w:cs="Times New Roman"/>
                <w:sz w:val="24"/>
                <w:szCs w:val="24"/>
                <w:lang w:eastAsia="ru-RU"/>
              </w:rPr>
              <w:t>1.3. Место нахождения эмитента</w:t>
            </w:r>
          </w:p>
        </w:tc>
        <w:tc>
          <w:tcPr>
            <w:tcW w:w="4734" w:type="dxa"/>
          </w:tcPr>
          <w:p w:rsidR="00F3211B" w:rsidRPr="00F3211B" w:rsidRDefault="00F3211B" w:rsidP="00701D8F">
            <w:pPr>
              <w:autoSpaceDE w:val="0"/>
              <w:autoSpaceDN w:val="0"/>
              <w:spacing w:after="0" w:line="240" w:lineRule="auto"/>
              <w:rPr>
                <w:rFonts w:ascii="Times New Roman" w:eastAsiaTheme="minorEastAsia" w:hAnsi="Times New Roman" w:cs="Times New Roman"/>
                <w:sz w:val="24"/>
                <w:szCs w:val="24"/>
                <w:lang w:eastAsia="ru-RU"/>
              </w:rPr>
            </w:pPr>
            <w:r w:rsidRPr="00F3211B">
              <w:rPr>
                <w:rFonts w:ascii="Times New Roman" w:eastAsiaTheme="minorEastAsia" w:hAnsi="Times New Roman" w:cs="Times New Roman"/>
                <w:sz w:val="24"/>
                <w:szCs w:val="24"/>
                <w:lang w:eastAsia="ru-RU"/>
              </w:rPr>
              <w:t xml:space="preserve">Республика Северная Осетия – Алания, </w:t>
            </w:r>
            <w:r w:rsidR="00BB7219">
              <w:rPr>
                <w:rFonts w:ascii="Times New Roman" w:eastAsiaTheme="minorEastAsia" w:hAnsi="Times New Roman" w:cs="Times New Roman"/>
                <w:sz w:val="24"/>
                <w:szCs w:val="24"/>
                <w:lang w:eastAsia="ru-RU"/>
              </w:rPr>
              <w:br/>
            </w:r>
            <w:r w:rsidRPr="00F3211B">
              <w:rPr>
                <w:rFonts w:ascii="Times New Roman" w:eastAsiaTheme="minorEastAsia" w:hAnsi="Times New Roman" w:cs="Times New Roman"/>
                <w:sz w:val="24"/>
                <w:szCs w:val="24"/>
                <w:lang w:eastAsia="ru-RU"/>
              </w:rPr>
              <w:t>г. Владикавказ</w:t>
            </w:r>
          </w:p>
        </w:tc>
      </w:tr>
      <w:tr w:rsidR="00F3211B" w:rsidRPr="00F3211B" w:rsidTr="001D6343">
        <w:tc>
          <w:tcPr>
            <w:tcW w:w="4933" w:type="dxa"/>
          </w:tcPr>
          <w:p w:rsidR="00F3211B" w:rsidRPr="00F3211B" w:rsidRDefault="00F3211B" w:rsidP="00F3211B">
            <w:pPr>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F3211B">
              <w:rPr>
                <w:rFonts w:ascii="Times New Roman" w:eastAsiaTheme="minorEastAsia" w:hAnsi="Times New Roman" w:cs="Times New Roman"/>
                <w:sz w:val="24"/>
                <w:szCs w:val="24"/>
                <w:lang w:eastAsia="ru-RU"/>
              </w:rPr>
              <w:t>1.4. ОГРН эмитента</w:t>
            </w:r>
          </w:p>
        </w:tc>
        <w:tc>
          <w:tcPr>
            <w:tcW w:w="4734" w:type="dxa"/>
          </w:tcPr>
          <w:p w:rsidR="00F3211B" w:rsidRPr="00F3211B" w:rsidRDefault="00F3211B" w:rsidP="00F3211B">
            <w:pPr>
              <w:autoSpaceDE w:val="0"/>
              <w:autoSpaceDN w:val="0"/>
              <w:spacing w:after="0" w:line="240" w:lineRule="auto"/>
              <w:rPr>
                <w:rFonts w:ascii="Times New Roman" w:eastAsiaTheme="minorEastAsia" w:hAnsi="Times New Roman" w:cs="Times New Roman"/>
                <w:sz w:val="24"/>
                <w:szCs w:val="24"/>
                <w:lang w:eastAsia="ru-RU"/>
              </w:rPr>
            </w:pPr>
            <w:r w:rsidRPr="00F3211B">
              <w:rPr>
                <w:rFonts w:ascii="Times New Roman" w:eastAsiaTheme="minorEastAsia" w:hAnsi="Times New Roman" w:cs="Times New Roman"/>
                <w:sz w:val="24"/>
                <w:szCs w:val="24"/>
                <w:lang w:eastAsia="ru-RU"/>
              </w:rPr>
              <w:t>1021500580090</w:t>
            </w:r>
          </w:p>
        </w:tc>
      </w:tr>
      <w:tr w:rsidR="00F3211B" w:rsidRPr="00F3211B" w:rsidTr="001D6343">
        <w:tc>
          <w:tcPr>
            <w:tcW w:w="4933" w:type="dxa"/>
          </w:tcPr>
          <w:p w:rsidR="00F3211B" w:rsidRPr="00F3211B" w:rsidRDefault="00F3211B" w:rsidP="00F3211B">
            <w:pPr>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F3211B">
              <w:rPr>
                <w:rFonts w:ascii="Times New Roman" w:eastAsiaTheme="minorEastAsia" w:hAnsi="Times New Roman" w:cs="Times New Roman"/>
                <w:sz w:val="24"/>
                <w:szCs w:val="24"/>
                <w:lang w:eastAsia="ru-RU"/>
              </w:rPr>
              <w:t>1.5. ИНН эмитента</w:t>
            </w:r>
          </w:p>
        </w:tc>
        <w:tc>
          <w:tcPr>
            <w:tcW w:w="4734" w:type="dxa"/>
          </w:tcPr>
          <w:p w:rsidR="00F3211B" w:rsidRPr="00F3211B" w:rsidRDefault="00F3211B" w:rsidP="00F3211B">
            <w:pPr>
              <w:autoSpaceDE w:val="0"/>
              <w:autoSpaceDN w:val="0"/>
              <w:spacing w:after="0" w:line="240" w:lineRule="auto"/>
              <w:rPr>
                <w:rFonts w:ascii="Times New Roman" w:eastAsiaTheme="minorEastAsia" w:hAnsi="Times New Roman" w:cs="Times New Roman"/>
                <w:sz w:val="24"/>
                <w:szCs w:val="24"/>
                <w:lang w:eastAsia="ru-RU"/>
              </w:rPr>
            </w:pPr>
            <w:r w:rsidRPr="00F3211B">
              <w:rPr>
                <w:rFonts w:ascii="Times New Roman" w:eastAsiaTheme="minorEastAsia" w:hAnsi="Times New Roman" w:cs="Times New Roman"/>
                <w:sz w:val="24"/>
                <w:szCs w:val="24"/>
                <w:lang w:eastAsia="ru-RU"/>
              </w:rPr>
              <w:t>1502002701</w:t>
            </w:r>
          </w:p>
        </w:tc>
      </w:tr>
      <w:tr w:rsidR="00F3211B" w:rsidRPr="00F3211B" w:rsidTr="001D6343">
        <w:tc>
          <w:tcPr>
            <w:tcW w:w="4933" w:type="dxa"/>
          </w:tcPr>
          <w:p w:rsidR="00F3211B" w:rsidRPr="00F3211B" w:rsidRDefault="00F3211B" w:rsidP="00F3211B">
            <w:pPr>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F3211B">
              <w:rPr>
                <w:rFonts w:ascii="Times New Roman" w:eastAsiaTheme="minorEastAsia" w:hAnsi="Times New Roman" w:cs="Times New Roman"/>
                <w:sz w:val="24"/>
                <w:szCs w:val="24"/>
                <w:lang w:eastAsia="ru-RU"/>
              </w:rPr>
              <w:t>1.6. Уникальный код эмитента, присвоенный регистрирующим органом</w:t>
            </w:r>
          </w:p>
        </w:tc>
        <w:tc>
          <w:tcPr>
            <w:tcW w:w="4734" w:type="dxa"/>
          </w:tcPr>
          <w:p w:rsidR="00F3211B" w:rsidRPr="00F3211B" w:rsidRDefault="00F3211B" w:rsidP="00F3211B">
            <w:pPr>
              <w:autoSpaceDE w:val="0"/>
              <w:autoSpaceDN w:val="0"/>
              <w:spacing w:after="0" w:line="240" w:lineRule="auto"/>
              <w:rPr>
                <w:rFonts w:ascii="Times New Roman" w:eastAsiaTheme="minorEastAsia" w:hAnsi="Times New Roman" w:cs="Times New Roman"/>
                <w:sz w:val="24"/>
                <w:szCs w:val="24"/>
                <w:lang w:eastAsia="ru-RU"/>
              </w:rPr>
            </w:pPr>
            <w:r w:rsidRPr="00F3211B">
              <w:rPr>
                <w:rFonts w:ascii="Times New Roman" w:eastAsiaTheme="minorEastAsia" w:hAnsi="Times New Roman" w:cs="Times New Roman"/>
                <w:sz w:val="24"/>
                <w:szCs w:val="24"/>
                <w:lang w:eastAsia="ru-RU"/>
              </w:rPr>
              <w:t>00388-A</w:t>
            </w:r>
          </w:p>
        </w:tc>
      </w:tr>
      <w:tr w:rsidR="00F3211B" w:rsidRPr="00F3211B" w:rsidTr="001D6343">
        <w:tc>
          <w:tcPr>
            <w:tcW w:w="4933" w:type="dxa"/>
          </w:tcPr>
          <w:p w:rsidR="00F3211B" w:rsidRPr="00F3211B" w:rsidRDefault="00F3211B" w:rsidP="00F3211B">
            <w:pPr>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F3211B">
              <w:rPr>
                <w:rFonts w:ascii="Times New Roman" w:eastAsiaTheme="minorEastAsia" w:hAnsi="Times New Roman" w:cs="Times New Roman"/>
                <w:sz w:val="24"/>
                <w:szCs w:val="24"/>
                <w:lang w:eastAsia="ru-RU"/>
              </w:rPr>
              <w:t>1.7. Адрес страницы в сети Интернет, используемой эмитентом для раскрытия информации</w:t>
            </w:r>
          </w:p>
        </w:tc>
        <w:tc>
          <w:tcPr>
            <w:tcW w:w="4734" w:type="dxa"/>
          </w:tcPr>
          <w:p w:rsidR="00F3211B" w:rsidRPr="00F3211B" w:rsidRDefault="006D5A08" w:rsidP="00F3211B">
            <w:pPr>
              <w:autoSpaceDE w:val="0"/>
              <w:autoSpaceDN w:val="0"/>
              <w:spacing w:after="0" w:line="240" w:lineRule="auto"/>
              <w:rPr>
                <w:rFonts w:ascii="Times New Roman" w:eastAsiaTheme="minorEastAsia" w:hAnsi="Times New Roman" w:cs="Times New Roman"/>
                <w:sz w:val="24"/>
                <w:szCs w:val="24"/>
                <w:lang w:eastAsia="ru-RU"/>
              </w:rPr>
            </w:pPr>
            <w:hyperlink r:id="rId8" w:history="1">
              <w:r w:rsidR="00701D8F" w:rsidRPr="001C2F14">
                <w:rPr>
                  <w:rStyle w:val="a5"/>
                  <w:rFonts w:ascii="Times New Roman" w:eastAsiaTheme="minorEastAsia" w:hAnsi="Times New Roman" w:cs="Times New Roman"/>
                  <w:sz w:val="24"/>
                  <w:szCs w:val="24"/>
                  <w:lang w:eastAsia="ru-RU"/>
                </w:rPr>
                <w:t>http://disclosure.skrin.ru/disclosure/1502002701</w:t>
              </w:r>
            </w:hyperlink>
            <w:r w:rsidR="00701D8F">
              <w:rPr>
                <w:rFonts w:ascii="Times New Roman" w:eastAsiaTheme="minorEastAsia" w:hAnsi="Times New Roman" w:cs="Times New Roman"/>
                <w:sz w:val="24"/>
                <w:szCs w:val="24"/>
                <w:lang w:eastAsia="ru-RU"/>
              </w:rPr>
              <w:t xml:space="preserve"> </w:t>
            </w:r>
          </w:p>
        </w:tc>
      </w:tr>
    </w:tbl>
    <w:p w:rsidR="00F3211B" w:rsidRPr="00F3211B" w:rsidRDefault="00F3211B" w:rsidP="00F3211B">
      <w:pPr>
        <w:autoSpaceDE w:val="0"/>
        <w:autoSpaceDN w:val="0"/>
        <w:spacing w:after="0" w:line="240" w:lineRule="auto"/>
        <w:rPr>
          <w:rFonts w:ascii="Times New Roman" w:eastAsiaTheme="minorEastAsia" w:hAnsi="Times New Roman" w:cs="Times New Roman"/>
          <w:sz w:val="24"/>
          <w:szCs w:val="24"/>
          <w:lang w:eastAsia="ru-RU"/>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67"/>
      </w:tblGrid>
      <w:tr w:rsidR="00F3211B" w:rsidRPr="00F3211B" w:rsidTr="00FE48F8">
        <w:tc>
          <w:tcPr>
            <w:tcW w:w="9667" w:type="dxa"/>
          </w:tcPr>
          <w:p w:rsidR="00F3211B" w:rsidRPr="00F3211B" w:rsidRDefault="00F3211B" w:rsidP="00F3211B">
            <w:pPr>
              <w:autoSpaceDE w:val="0"/>
              <w:autoSpaceDN w:val="0"/>
              <w:spacing w:after="0" w:line="240" w:lineRule="auto"/>
              <w:jc w:val="center"/>
              <w:rPr>
                <w:rFonts w:ascii="Times New Roman" w:eastAsiaTheme="minorEastAsia" w:hAnsi="Times New Roman" w:cs="Times New Roman"/>
                <w:sz w:val="24"/>
                <w:szCs w:val="24"/>
                <w:lang w:eastAsia="ru-RU"/>
              </w:rPr>
            </w:pPr>
            <w:r w:rsidRPr="00F3211B">
              <w:rPr>
                <w:rFonts w:ascii="Times New Roman" w:eastAsiaTheme="minorEastAsia" w:hAnsi="Times New Roman" w:cs="Times New Roman"/>
                <w:sz w:val="24"/>
                <w:szCs w:val="24"/>
                <w:lang w:eastAsia="ru-RU"/>
              </w:rPr>
              <w:t>2. Содержание сообщения</w:t>
            </w:r>
          </w:p>
        </w:tc>
      </w:tr>
      <w:tr w:rsidR="00F3211B" w:rsidRPr="00F3211B" w:rsidTr="00FE48F8">
        <w:trPr>
          <w:trHeight w:val="983"/>
        </w:trPr>
        <w:tc>
          <w:tcPr>
            <w:tcW w:w="9667" w:type="dxa"/>
          </w:tcPr>
          <w:p w:rsidR="00866B48" w:rsidRPr="00866B48" w:rsidRDefault="00866B48" w:rsidP="00866B48">
            <w:pPr>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866B48">
              <w:rPr>
                <w:rFonts w:ascii="Times New Roman" w:eastAsiaTheme="minorEastAsia" w:hAnsi="Times New Roman" w:cs="Times New Roman"/>
                <w:sz w:val="24"/>
                <w:szCs w:val="24"/>
                <w:lang w:eastAsia="ru-RU"/>
              </w:rPr>
              <w:t xml:space="preserve">2.1. Кворум заседания совета директоров эмитента – приняли участие </w:t>
            </w:r>
            <w:r>
              <w:rPr>
                <w:rFonts w:ascii="Times New Roman" w:eastAsiaTheme="minorEastAsia" w:hAnsi="Times New Roman" w:cs="Times New Roman"/>
                <w:sz w:val="24"/>
                <w:szCs w:val="24"/>
                <w:lang w:eastAsia="ru-RU"/>
              </w:rPr>
              <w:t>7</w:t>
            </w:r>
            <w:r w:rsidRPr="00866B48">
              <w:rPr>
                <w:rFonts w:ascii="Times New Roman" w:eastAsiaTheme="minorEastAsia" w:hAnsi="Times New Roman" w:cs="Times New Roman"/>
                <w:sz w:val="24"/>
                <w:szCs w:val="24"/>
                <w:lang w:eastAsia="ru-RU"/>
              </w:rPr>
              <w:t xml:space="preserve"> членов совета директоров из 7, кворум имеется.</w:t>
            </w:r>
          </w:p>
          <w:p w:rsidR="00866B48" w:rsidRPr="00866B48" w:rsidRDefault="00866B48" w:rsidP="00866B48">
            <w:pPr>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866B48">
              <w:rPr>
                <w:rFonts w:ascii="Times New Roman" w:eastAsiaTheme="minorEastAsia" w:hAnsi="Times New Roman" w:cs="Times New Roman"/>
                <w:sz w:val="24"/>
                <w:szCs w:val="24"/>
                <w:lang w:eastAsia="ru-RU"/>
              </w:rPr>
              <w:t>Результаты голосования по вопрос</w:t>
            </w:r>
            <w:r w:rsidR="000E0E3F">
              <w:rPr>
                <w:rFonts w:ascii="Times New Roman" w:eastAsiaTheme="minorEastAsia" w:hAnsi="Times New Roman" w:cs="Times New Roman"/>
                <w:sz w:val="24"/>
                <w:szCs w:val="24"/>
                <w:lang w:eastAsia="ru-RU"/>
              </w:rPr>
              <w:t>у</w:t>
            </w:r>
            <w:r w:rsidRPr="00866B48">
              <w:rPr>
                <w:rFonts w:ascii="Times New Roman" w:eastAsiaTheme="minorEastAsia" w:hAnsi="Times New Roman" w:cs="Times New Roman"/>
                <w:sz w:val="24"/>
                <w:szCs w:val="24"/>
                <w:lang w:eastAsia="ru-RU"/>
              </w:rPr>
              <w:t xml:space="preserve"> о принятии решений:</w:t>
            </w:r>
          </w:p>
          <w:p w:rsidR="00866B48" w:rsidRPr="00866B48" w:rsidRDefault="00866B48" w:rsidP="00866B48">
            <w:pPr>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866B48">
              <w:rPr>
                <w:rFonts w:ascii="Times New Roman" w:eastAsiaTheme="minorEastAsia" w:hAnsi="Times New Roman" w:cs="Times New Roman"/>
                <w:sz w:val="24"/>
                <w:szCs w:val="24"/>
                <w:lang w:eastAsia="ru-RU"/>
              </w:rPr>
              <w:t>По вопросу № 4 повестки заседания совета директоров:</w:t>
            </w:r>
          </w:p>
          <w:p w:rsidR="00866B48" w:rsidRPr="00866B48" w:rsidRDefault="00866B48" w:rsidP="00866B48">
            <w:pPr>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866B48">
              <w:rPr>
                <w:rFonts w:ascii="Times New Roman" w:eastAsiaTheme="minorEastAsia" w:hAnsi="Times New Roman" w:cs="Times New Roman"/>
                <w:sz w:val="24"/>
                <w:szCs w:val="24"/>
                <w:lang w:eastAsia="ru-RU"/>
              </w:rPr>
              <w:t xml:space="preserve">Голосовали «ЗА»: </w:t>
            </w:r>
            <w:r>
              <w:rPr>
                <w:rFonts w:ascii="Times New Roman" w:eastAsiaTheme="minorEastAsia" w:hAnsi="Times New Roman" w:cs="Times New Roman"/>
                <w:sz w:val="24"/>
                <w:szCs w:val="24"/>
                <w:lang w:eastAsia="ru-RU"/>
              </w:rPr>
              <w:t>7</w:t>
            </w:r>
            <w:r w:rsidRPr="00866B48">
              <w:rPr>
                <w:rFonts w:ascii="Times New Roman" w:eastAsiaTheme="minorEastAsia" w:hAnsi="Times New Roman" w:cs="Times New Roman"/>
                <w:sz w:val="24"/>
                <w:szCs w:val="24"/>
                <w:lang w:eastAsia="ru-RU"/>
              </w:rPr>
              <w:t xml:space="preserve"> человек, «ПРОТИВ»: нет «ВОЗДЕРЖАВШИХСЯ»: нет.</w:t>
            </w:r>
          </w:p>
          <w:p w:rsidR="00596CF1" w:rsidRDefault="00866B48" w:rsidP="00866B48">
            <w:pPr>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866B48">
              <w:rPr>
                <w:rFonts w:ascii="Times New Roman" w:eastAsiaTheme="minorEastAsia" w:hAnsi="Times New Roman" w:cs="Times New Roman"/>
                <w:sz w:val="24"/>
                <w:szCs w:val="24"/>
                <w:lang w:eastAsia="ru-RU"/>
              </w:rPr>
              <w:t xml:space="preserve">Решение по </w:t>
            </w:r>
            <w:r w:rsidR="007E6F56">
              <w:rPr>
                <w:rFonts w:ascii="Times New Roman" w:eastAsiaTheme="minorEastAsia" w:hAnsi="Times New Roman" w:cs="Times New Roman"/>
                <w:sz w:val="24"/>
                <w:szCs w:val="24"/>
                <w:lang w:eastAsia="ru-RU"/>
              </w:rPr>
              <w:t xml:space="preserve">указанному </w:t>
            </w:r>
            <w:r w:rsidRPr="00866B48">
              <w:rPr>
                <w:rFonts w:ascii="Times New Roman" w:eastAsiaTheme="minorEastAsia" w:hAnsi="Times New Roman" w:cs="Times New Roman"/>
                <w:sz w:val="24"/>
                <w:szCs w:val="24"/>
                <w:lang w:eastAsia="ru-RU"/>
              </w:rPr>
              <w:t xml:space="preserve">вопросу повестки дня принято большинством голосов директоров, незаинтересованных в совершении сделки. </w:t>
            </w:r>
          </w:p>
          <w:p w:rsidR="00866B48" w:rsidRDefault="00866B48" w:rsidP="00866B48">
            <w:pPr>
              <w:autoSpaceDE w:val="0"/>
              <w:autoSpaceDN w:val="0"/>
              <w:spacing w:after="0" w:line="240" w:lineRule="auto"/>
              <w:ind w:left="57" w:right="57"/>
              <w:jc w:val="both"/>
              <w:rPr>
                <w:rFonts w:ascii="Times New Roman" w:eastAsiaTheme="minorEastAsia" w:hAnsi="Times New Roman" w:cs="Times New Roman"/>
                <w:sz w:val="24"/>
                <w:szCs w:val="24"/>
                <w:lang w:eastAsia="ru-RU"/>
              </w:rPr>
            </w:pPr>
          </w:p>
          <w:p w:rsidR="008930DA" w:rsidRDefault="008930DA" w:rsidP="00656487">
            <w:pPr>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8930DA">
              <w:rPr>
                <w:rFonts w:ascii="Times New Roman" w:eastAsiaTheme="minorEastAsia" w:hAnsi="Times New Roman" w:cs="Times New Roman"/>
                <w:sz w:val="24"/>
                <w:szCs w:val="24"/>
                <w:lang w:eastAsia="ru-RU"/>
              </w:rPr>
              <w:t>2.</w:t>
            </w:r>
            <w:r w:rsidR="000B61AD">
              <w:rPr>
                <w:rFonts w:ascii="Times New Roman" w:eastAsiaTheme="minorEastAsia" w:hAnsi="Times New Roman" w:cs="Times New Roman"/>
                <w:sz w:val="24"/>
                <w:szCs w:val="24"/>
                <w:lang w:eastAsia="ru-RU"/>
              </w:rPr>
              <w:t>2</w:t>
            </w:r>
            <w:r w:rsidRPr="008930DA">
              <w:rPr>
                <w:rFonts w:ascii="Times New Roman" w:eastAsiaTheme="minorEastAsia" w:hAnsi="Times New Roman" w:cs="Times New Roman"/>
                <w:sz w:val="24"/>
                <w:szCs w:val="24"/>
                <w:lang w:eastAsia="ru-RU"/>
              </w:rPr>
              <w:t xml:space="preserve">. Содержание </w:t>
            </w:r>
            <w:r w:rsidR="000B61AD" w:rsidRPr="008930DA">
              <w:rPr>
                <w:rFonts w:ascii="Times New Roman" w:eastAsiaTheme="minorEastAsia" w:hAnsi="Times New Roman" w:cs="Times New Roman"/>
                <w:sz w:val="24"/>
                <w:szCs w:val="24"/>
                <w:lang w:eastAsia="ru-RU"/>
              </w:rPr>
              <w:t>решени</w:t>
            </w:r>
            <w:r w:rsidR="000B61AD">
              <w:rPr>
                <w:rFonts w:ascii="Times New Roman" w:eastAsiaTheme="minorEastAsia" w:hAnsi="Times New Roman" w:cs="Times New Roman"/>
                <w:sz w:val="24"/>
                <w:szCs w:val="24"/>
                <w:lang w:eastAsia="ru-RU"/>
              </w:rPr>
              <w:t>й</w:t>
            </w:r>
            <w:r w:rsidRPr="008930DA">
              <w:rPr>
                <w:rFonts w:ascii="Times New Roman" w:eastAsiaTheme="minorEastAsia" w:hAnsi="Times New Roman" w:cs="Times New Roman"/>
                <w:sz w:val="24"/>
                <w:szCs w:val="24"/>
                <w:lang w:eastAsia="ru-RU"/>
              </w:rPr>
              <w:t xml:space="preserve">, </w:t>
            </w:r>
            <w:r w:rsidR="000B61AD" w:rsidRPr="008930DA">
              <w:rPr>
                <w:rFonts w:ascii="Times New Roman" w:eastAsiaTheme="minorEastAsia" w:hAnsi="Times New Roman" w:cs="Times New Roman"/>
                <w:sz w:val="24"/>
                <w:szCs w:val="24"/>
                <w:lang w:eastAsia="ru-RU"/>
              </w:rPr>
              <w:t>принят</w:t>
            </w:r>
            <w:r w:rsidR="000B61AD">
              <w:rPr>
                <w:rFonts w:ascii="Times New Roman" w:eastAsiaTheme="minorEastAsia" w:hAnsi="Times New Roman" w:cs="Times New Roman"/>
                <w:sz w:val="24"/>
                <w:szCs w:val="24"/>
                <w:lang w:eastAsia="ru-RU"/>
              </w:rPr>
              <w:t>ых</w:t>
            </w:r>
            <w:r w:rsidR="000B61AD" w:rsidRPr="008930DA">
              <w:rPr>
                <w:rFonts w:ascii="Times New Roman" w:eastAsiaTheme="minorEastAsia" w:hAnsi="Times New Roman" w:cs="Times New Roman"/>
                <w:sz w:val="24"/>
                <w:szCs w:val="24"/>
                <w:lang w:eastAsia="ru-RU"/>
              </w:rPr>
              <w:t xml:space="preserve"> </w:t>
            </w:r>
            <w:r w:rsidRPr="008930DA">
              <w:rPr>
                <w:rFonts w:ascii="Times New Roman" w:eastAsiaTheme="minorEastAsia" w:hAnsi="Times New Roman" w:cs="Times New Roman"/>
                <w:sz w:val="24"/>
                <w:szCs w:val="24"/>
                <w:lang w:eastAsia="ru-RU"/>
              </w:rPr>
              <w:t xml:space="preserve">советом директоров </w:t>
            </w:r>
            <w:r w:rsidR="000B61AD">
              <w:rPr>
                <w:rFonts w:ascii="Times New Roman" w:eastAsiaTheme="minorEastAsia" w:hAnsi="Times New Roman" w:cs="Times New Roman"/>
                <w:sz w:val="24"/>
                <w:szCs w:val="24"/>
                <w:lang w:eastAsia="ru-RU"/>
              </w:rPr>
              <w:t>эмитента</w:t>
            </w:r>
            <w:r w:rsidRPr="008930DA">
              <w:rPr>
                <w:rFonts w:ascii="Times New Roman" w:eastAsiaTheme="minorEastAsia" w:hAnsi="Times New Roman" w:cs="Times New Roman"/>
                <w:sz w:val="24"/>
                <w:szCs w:val="24"/>
                <w:lang w:eastAsia="ru-RU"/>
              </w:rPr>
              <w:t>:</w:t>
            </w:r>
          </w:p>
          <w:p w:rsidR="000B61AD" w:rsidRDefault="000B61AD" w:rsidP="00656487">
            <w:pPr>
              <w:autoSpaceDE w:val="0"/>
              <w:autoSpaceDN w:val="0"/>
              <w:spacing w:after="0" w:line="240" w:lineRule="auto"/>
              <w:ind w:left="57" w:right="57"/>
              <w:jc w:val="both"/>
              <w:rPr>
                <w:rFonts w:ascii="Times New Roman" w:eastAsiaTheme="minorEastAsia" w:hAnsi="Times New Roman" w:cs="Times New Roman"/>
                <w:sz w:val="24"/>
                <w:szCs w:val="24"/>
                <w:lang w:eastAsia="ru-RU"/>
              </w:rPr>
            </w:pPr>
          </w:p>
          <w:p w:rsidR="00866B48" w:rsidRDefault="00866B48" w:rsidP="00866B48">
            <w:pPr>
              <w:tabs>
                <w:tab w:val="left" w:pos="426"/>
              </w:tabs>
              <w:autoSpaceDE w:val="0"/>
              <w:autoSpaceDN w:val="0"/>
              <w:spacing w:after="0" w:line="240" w:lineRule="auto"/>
              <w:ind w:left="57" w:right="5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 вопросу № 4: «</w:t>
            </w:r>
            <w:r w:rsidRPr="00866B48">
              <w:rPr>
                <w:rFonts w:ascii="Times New Roman" w:eastAsiaTheme="minorEastAsia" w:hAnsi="Times New Roman" w:cs="Times New Roman"/>
                <w:sz w:val="24"/>
                <w:szCs w:val="24"/>
                <w:lang w:eastAsia="ru-RU"/>
              </w:rPr>
              <w:t>Об одобрении лицензионного договора на передачу неисключительных прав на программы для ЭВМ между ПАО «Севкавказэнерго» и АО «Управление ВОЛС-ВЛ», являющегося сделкой, в совершении которой имеется заинтересованность</w:t>
            </w:r>
            <w:r>
              <w:rPr>
                <w:rFonts w:ascii="Times New Roman" w:eastAsiaTheme="minorEastAsia" w:hAnsi="Times New Roman" w:cs="Times New Roman"/>
                <w:sz w:val="24"/>
                <w:szCs w:val="24"/>
                <w:lang w:eastAsia="ru-RU"/>
              </w:rPr>
              <w:t>»:</w:t>
            </w:r>
          </w:p>
          <w:p w:rsidR="00866B48" w:rsidRDefault="00866B48" w:rsidP="00866B48">
            <w:pPr>
              <w:tabs>
                <w:tab w:val="left" w:pos="426"/>
              </w:tabs>
              <w:autoSpaceDE w:val="0"/>
              <w:autoSpaceDN w:val="0"/>
              <w:spacing w:after="0" w:line="240" w:lineRule="auto"/>
              <w:ind w:left="57" w:right="57"/>
              <w:jc w:val="both"/>
              <w:rPr>
                <w:rFonts w:ascii="Times New Roman" w:eastAsiaTheme="minorEastAsia" w:hAnsi="Times New Roman" w:cs="Times New Roman"/>
                <w:sz w:val="24"/>
                <w:szCs w:val="24"/>
                <w:lang w:eastAsia="ru-RU"/>
              </w:rPr>
            </w:pPr>
          </w:p>
          <w:p w:rsidR="00866B48" w:rsidRPr="00866B48" w:rsidRDefault="00866B48" w:rsidP="00866B48">
            <w:pPr>
              <w:tabs>
                <w:tab w:val="left" w:pos="426"/>
              </w:tab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866B48">
              <w:rPr>
                <w:rFonts w:ascii="Times New Roman" w:eastAsiaTheme="minorEastAsia" w:hAnsi="Times New Roman" w:cs="Times New Roman"/>
                <w:sz w:val="24"/>
                <w:szCs w:val="24"/>
                <w:lang w:eastAsia="ru-RU"/>
              </w:rPr>
              <w:t>1. Определить, что общий размер вознаграждения за Права пользования программами для ЭВМ, передаваемыми по договору  на передачу неисключительных прав на программы для ЭВМ, составляет 692 900 (Шестьсот девяносто две тысячи девятьсот) рублей 00 копеек, не облагается НДС в соответствии с п.2. ст.149 НК РФ.</w:t>
            </w:r>
          </w:p>
          <w:p w:rsidR="00866B48" w:rsidRPr="00866B48" w:rsidRDefault="00866B48" w:rsidP="00866B48">
            <w:pPr>
              <w:tabs>
                <w:tab w:val="left" w:pos="426"/>
              </w:tab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866B48">
              <w:rPr>
                <w:rFonts w:ascii="Times New Roman" w:eastAsiaTheme="minorEastAsia" w:hAnsi="Times New Roman" w:cs="Times New Roman"/>
                <w:sz w:val="24"/>
                <w:szCs w:val="24"/>
                <w:lang w:eastAsia="ru-RU"/>
              </w:rPr>
              <w:t>2. Одобрить договор на передачу неисключительных прав на программы для ЭВМ между ПАО «Севкавказэнерго» и АО «Управление ВОЛС-ВЛ», являющийся сделкой, в совершении которой имеется заинтересованность (далее – Договор), на следующих существенных условиях:</w:t>
            </w:r>
          </w:p>
          <w:p w:rsidR="00866B48" w:rsidRPr="00866B48" w:rsidRDefault="00866B48" w:rsidP="00866B48">
            <w:pPr>
              <w:tabs>
                <w:tab w:val="left" w:pos="426"/>
              </w:tab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866B48">
              <w:rPr>
                <w:rFonts w:ascii="Times New Roman" w:eastAsiaTheme="minorEastAsia" w:hAnsi="Times New Roman" w:cs="Times New Roman"/>
                <w:sz w:val="24"/>
                <w:szCs w:val="24"/>
                <w:lang w:eastAsia="ru-RU"/>
              </w:rPr>
              <w:t>Стороны Договора:</w:t>
            </w:r>
          </w:p>
          <w:p w:rsidR="00866B48" w:rsidRPr="00866B48" w:rsidRDefault="00866B48" w:rsidP="00866B48">
            <w:pPr>
              <w:tabs>
                <w:tab w:val="left" w:pos="426"/>
              </w:tab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866B48">
              <w:rPr>
                <w:rFonts w:ascii="Times New Roman" w:eastAsiaTheme="minorEastAsia" w:hAnsi="Times New Roman" w:cs="Times New Roman"/>
                <w:sz w:val="24"/>
                <w:szCs w:val="24"/>
                <w:lang w:eastAsia="ru-RU"/>
              </w:rPr>
              <w:t>АО «Управление ВОЛС-ВЛ»  - Сублицензиар</w:t>
            </w:r>
          </w:p>
          <w:p w:rsidR="00866B48" w:rsidRPr="00866B48" w:rsidRDefault="00866B48" w:rsidP="00866B48">
            <w:pPr>
              <w:tabs>
                <w:tab w:val="left" w:pos="426"/>
              </w:tab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866B48">
              <w:rPr>
                <w:rFonts w:ascii="Times New Roman" w:eastAsiaTheme="minorEastAsia" w:hAnsi="Times New Roman" w:cs="Times New Roman"/>
                <w:sz w:val="24"/>
                <w:szCs w:val="24"/>
                <w:lang w:eastAsia="ru-RU"/>
              </w:rPr>
              <w:t>ПАО «Севкавказэнерго»  - Сублицензиат</w:t>
            </w:r>
          </w:p>
          <w:p w:rsidR="00866B48" w:rsidRPr="00866B48" w:rsidRDefault="00866B48" w:rsidP="00866B48">
            <w:pPr>
              <w:tabs>
                <w:tab w:val="left" w:pos="426"/>
              </w:tab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866B48">
              <w:rPr>
                <w:rFonts w:ascii="Times New Roman" w:eastAsiaTheme="minorEastAsia" w:hAnsi="Times New Roman" w:cs="Times New Roman"/>
                <w:sz w:val="24"/>
                <w:szCs w:val="24"/>
                <w:lang w:eastAsia="ru-RU"/>
              </w:rPr>
              <w:t xml:space="preserve">Предмет Договора: </w:t>
            </w:r>
          </w:p>
          <w:p w:rsidR="00866B48" w:rsidRPr="00866B48" w:rsidRDefault="00866B48" w:rsidP="00866B48">
            <w:pPr>
              <w:tabs>
                <w:tab w:val="left" w:pos="426"/>
              </w:tab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866B48">
              <w:rPr>
                <w:rFonts w:ascii="Times New Roman" w:eastAsiaTheme="minorEastAsia" w:hAnsi="Times New Roman" w:cs="Times New Roman"/>
                <w:sz w:val="24"/>
                <w:szCs w:val="24"/>
                <w:lang w:eastAsia="ru-RU"/>
              </w:rPr>
              <w:t>Сублицензиар, имея соответствующие полномочия, обязуется передать Сублицензиату следующие неисключительные  права на использование Программ для ЭВМ/баз данных, далее именуемые «Права пользования» или «Права»:</w:t>
            </w:r>
          </w:p>
          <w:p w:rsidR="00866B48" w:rsidRPr="00866B48" w:rsidRDefault="00866B48" w:rsidP="00866B48">
            <w:pPr>
              <w:tabs>
                <w:tab w:val="left" w:pos="426"/>
              </w:tab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866B48">
              <w:rPr>
                <w:rFonts w:ascii="Times New Roman" w:eastAsiaTheme="minorEastAsia" w:hAnsi="Times New Roman" w:cs="Times New Roman"/>
                <w:sz w:val="24"/>
                <w:szCs w:val="24"/>
                <w:lang w:eastAsia="ru-RU"/>
              </w:rPr>
              <w:lastRenderedPageBreak/>
              <w:t xml:space="preserve"> - право на воспроизведение указанных Программ для ЭВМ, ограниченное правом инсталляции, копирования и запуска Программ для ЭВМ в соответствии с документацией, сопровождающей передачу прав пользования и устанавливающей правила использования Программы для ЭВМ на территории Российской Федерации (далее «Территория»). </w:t>
            </w:r>
            <w:proofErr w:type="gramStart"/>
            <w:r w:rsidRPr="00866B48">
              <w:rPr>
                <w:rFonts w:ascii="Times New Roman" w:eastAsiaTheme="minorEastAsia" w:hAnsi="Times New Roman" w:cs="Times New Roman"/>
                <w:sz w:val="24"/>
                <w:szCs w:val="24"/>
                <w:lang w:eastAsia="ru-RU"/>
              </w:rPr>
              <w:t>Наименование, количество используемых копий программ для ЭВМ/баз данных, размер вознаграждения за  права пользования  на конкретные  Программы для ЭВМ, которые предоставляются Сублицензиату по Договору, а также иные условия, указываются сторонами в Спецификации (Приложение №1 к Договору, Приложение №4 к настоящему решению Совета директоров) и фиксируются в акте приема-передачи прав пользования, который подписывается Сторонами Договора при передаче права и является неотъемлемой</w:t>
            </w:r>
            <w:proofErr w:type="gramEnd"/>
            <w:r w:rsidRPr="00866B48">
              <w:rPr>
                <w:rFonts w:ascii="Times New Roman" w:eastAsiaTheme="minorEastAsia" w:hAnsi="Times New Roman" w:cs="Times New Roman"/>
                <w:sz w:val="24"/>
                <w:szCs w:val="24"/>
                <w:lang w:eastAsia="ru-RU"/>
              </w:rPr>
              <w:t xml:space="preserve"> частью Договора.</w:t>
            </w:r>
          </w:p>
          <w:p w:rsidR="00866B48" w:rsidRPr="00866B48" w:rsidRDefault="00866B48" w:rsidP="00866B48">
            <w:pPr>
              <w:tabs>
                <w:tab w:val="left" w:pos="426"/>
              </w:tab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866B48">
              <w:rPr>
                <w:rFonts w:ascii="Times New Roman" w:eastAsiaTheme="minorEastAsia" w:hAnsi="Times New Roman" w:cs="Times New Roman"/>
                <w:sz w:val="24"/>
                <w:szCs w:val="24"/>
                <w:lang w:eastAsia="ru-RU"/>
              </w:rPr>
              <w:t>Цена Договора:</w:t>
            </w:r>
          </w:p>
          <w:p w:rsidR="00866B48" w:rsidRPr="00866B48" w:rsidRDefault="00866B48" w:rsidP="00866B48">
            <w:pPr>
              <w:tabs>
                <w:tab w:val="left" w:pos="426"/>
              </w:tab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866B48">
              <w:rPr>
                <w:rFonts w:ascii="Times New Roman" w:eastAsiaTheme="minorEastAsia" w:hAnsi="Times New Roman" w:cs="Times New Roman"/>
                <w:sz w:val="24"/>
                <w:szCs w:val="24"/>
                <w:lang w:eastAsia="ru-RU"/>
              </w:rPr>
              <w:t>Общий размер вознаграждения за Права пользования программами для ЭВМ, передаваемыми по Договору, составляет 692 900 (Шестьсот девяносто две тысячи девятьсот) рублей 00 копеек, не облагается НДС в соответствии с п. 2. ст. 149 НК РФ.</w:t>
            </w:r>
          </w:p>
          <w:p w:rsidR="00866B48" w:rsidRPr="00866B48" w:rsidRDefault="00866B48" w:rsidP="00866B48">
            <w:pPr>
              <w:tabs>
                <w:tab w:val="left" w:pos="426"/>
              </w:tab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866B48">
              <w:rPr>
                <w:rFonts w:ascii="Times New Roman" w:eastAsiaTheme="minorEastAsia" w:hAnsi="Times New Roman" w:cs="Times New Roman"/>
                <w:sz w:val="24"/>
                <w:szCs w:val="24"/>
                <w:lang w:eastAsia="ru-RU"/>
              </w:rPr>
              <w:t>Оплата вознаграждения по Договору производится не позднее чем через 90 (Девяносто) рабочих дней с момента предоставления Права пользования программами для ЭВМ Сублицензиату, подтверждённого актом приема-передачи Прав пользования.</w:t>
            </w:r>
          </w:p>
          <w:p w:rsidR="00866B48" w:rsidRPr="00866B48" w:rsidRDefault="00866B48" w:rsidP="00866B48">
            <w:pPr>
              <w:tabs>
                <w:tab w:val="left" w:pos="426"/>
              </w:tab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866B48">
              <w:rPr>
                <w:rFonts w:ascii="Times New Roman" w:eastAsiaTheme="minorEastAsia" w:hAnsi="Times New Roman" w:cs="Times New Roman"/>
                <w:sz w:val="24"/>
                <w:szCs w:val="24"/>
                <w:lang w:eastAsia="ru-RU"/>
              </w:rPr>
              <w:t>Срок действия Договора:</w:t>
            </w:r>
          </w:p>
          <w:p w:rsidR="00866B48" w:rsidRPr="00866B48" w:rsidRDefault="00866B48" w:rsidP="00866B48">
            <w:pPr>
              <w:tabs>
                <w:tab w:val="left" w:pos="426"/>
              </w:tab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866B48">
              <w:rPr>
                <w:rFonts w:ascii="Times New Roman" w:eastAsiaTheme="minorEastAsia" w:hAnsi="Times New Roman" w:cs="Times New Roman"/>
                <w:sz w:val="24"/>
                <w:szCs w:val="24"/>
                <w:lang w:eastAsia="ru-RU"/>
              </w:rPr>
              <w:t>Права пользования, предоставленные Сублицензиату по Договору по акту приема – передачи прав пользования  в отношении Программ для ЭВМ наименование, количество и стоимость которых указаны в акте, предоставляются на срок с 01.03.2016 по 28.02.2019.</w:t>
            </w:r>
          </w:p>
          <w:p w:rsidR="00866B48" w:rsidRDefault="00866B48" w:rsidP="00866B48">
            <w:pPr>
              <w:tabs>
                <w:tab w:val="left" w:pos="426"/>
              </w:tab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866B48">
              <w:rPr>
                <w:rFonts w:ascii="Times New Roman" w:eastAsiaTheme="minorEastAsia" w:hAnsi="Times New Roman" w:cs="Times New Roman"/>
                <w:sz w:val="24"/>
                <w:szCs w:val="24"/>
                <w:lang w:eastAsia="ru-RU"/>
              </w:rPr>
              <w:t>Договор действует до исполнения Сторонами всех предусмотренных им обязательств в полном объеме и может быть расторгнут по письменному соглашению обеих Сторон.</w:t>
            </w:r>
          </w:p>
          <w:p w:rsidR="00866B48" w:rsidRDefault="00866B48" w:rsidP="00866B48">
            <w:pPr>
              <w:tabs>
                <w:tab w:val="left" w:pos="426"/>
              </w:tabs>
              <w:autoSpaceDE w:val="0"/>
              <w:autoSpaceDN w:val="0"/>
              <w:spacing w:after="0" w:line="240" w:lineRule="auto"/>
              <w:ind w:left="57" w:right="57"/>
              <w:jc w:val="both"/>
              <w:rPr>
                <w:rFonts w:ascii="Times New Roman" w:eastAsiaTheme="minorEastAsia" w:hAnsi="Times New Roman" w:cs="Times New Roman"/>
                <w:sz w:val="24"/>
                <w:szCs w:val="24"/>
                <w:lang w:eastAsia="ru-RU"/>
              </w:rPr>
            </w:pPr>
          </w:p>
          <w:p w:rsidR="000B61AD" w:rsidRDefault="000B61AD" w:rsidP="00656487">
            <w:pPr>
              <w:autoSpaceDE w:val="0"/>
              <w:autoSpaceDN w:val="0"/>
              <w:spacing w:after="0" w:line="240" w:lineRule="auto"/>
              <w:ind w:left="57" w:right="5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2.3. Дата проведения заседания совета директоров эмитента, на котором приняты соответствующие решения – </w:t>
            </w:r>
            <w:r w:rsidR="00866B48">
              <w:rPr>
                <w:rFonts w:ascii="Times New Roman" w:eastAsiaTheme="minorEastAsia" w:hAnsi="Times New Roman" w:cs="Times New Roman"/>
                <w:sz w:val="24"/>
                <w:szCs w:val="24"/>
                <w:lang w:eastAsia="ru-RU"/>
              </w:rPr>
              <w:t>15.04</w:t>
            </w:r>
            <w:r>
              <w:rPr>
                <w:rFonts w:ascii="Times New Roman" w:eastAsiaTheme="minorEastAsia" w:hAnsi="Times New Roman" w:cs="Times New Roman"/>
                <w:sz w:val="24"/>
                <w:szCs w:val="24"/>
                <w:lang w:eastAsia="ru-RU"/>
              </w:rPr>
              <w:t>.2016.</w:t>
            </w:r>
          </w:p>
          <w:p w:rsidR="000B61AD" w:rsidRPr="0023190D" w:rsidRDefault="000B61AD" w:rsidP="0023190D">
            <w:pPr>
              <w:tabs>
                <w:tab w:val="left" w:pos="567"/>
                <w:tab w:val="left" w:pos="705"/>
              </w:tabs>
              <w:autoSpaceDE w:val="0"/>
              <w:autoSpaceDN w:val="0"/>
              <w:spacing w:after="0" w:line="240" w:lineRule="auto"/>
              <w:ind w:right="57"/>
              <w:jc w:val="both"/>
              <w:rPr>
                <w:rFonts w:ascii="Times New Roman" w:eastAsiaTheme="minorEastAsia" w:hAnsi="Times New Roman" w:cs="Times New Roman"/>
                <w:sz w:val="24"/>
                <w:szCs w:val="24"/>
                <w:lang w:eastAsia="ru-RU"/>
              </w:rPr>
            </w:pPr>
            <w:r w:rsidRPr="0023190D">
              <w:rPr>
                <w:rFonts w:ascii="Times New Roman" w:eastAsiaTheme="minorEastAsia" w:hAnsi="Times New Roman" w:cs="Times New Roman"/>
                <w:sz w:val="24"/>
                <w:szCs w:val="24"/>
                <w:lang w:eastAsia="ru-RU"/>
              </w:rPr>
              <w:t xml:space="preserve"> </w:t>
            </w:r>
            <w:r w:rsidR="0023190D">
              <w:rPr>
                <w:rFonts w:ascii="Times New Roman" w:eastAsiaTheme="minorEastAsia" w:hAnsi="Times New Roman" w:cs="Times New Roman"/>
                <w:sz w:val="24"/>
                <w:szCs w:val="24"/>
                <w:lang w:eastAsia="ru-RU"/>
              </w:rPr>
              <w:t xml:space="preserve">2.4. </w:t>
            </w:r>
            <w:r w:rsidRPr="0023190D">
              <w:rPr>
                <w:rFonts w:ascii="Times New Roman" w:eastAsiaTheme="minorEastAsia" w:hAnsi="Times New Roman" w:cs="Times New Roman"/>
                <w:sz w:val="24"/>
                <w:szCs w:val="24"/>
                <w:lang w:eastAsia="ru-RU"/>
              </w:rPr>
              <w:t xml:space="preserve">Дата составления и номер протокола заседания совета директоров эмитента, на котором приняты соответствующие решения – от </w:t>
            </w:r>
            <w:r w:rsidR="00866B48" w:rsidRPr="0023190D">
              <w:rPr>
                <w:rFonts w:ascii="Times New Roman" w:eastAsiaTheme="minorEastAsia" w:hAnsi="Times New Roman" w:cs="Times New Roman"/>
                <w:sz w:val="24"/>
                <w:szCs w:val="24"/>
                <w:lang w:eastAsia="ru-RU"/>
              </w:rPr>
              <w:t>18.04.2016 № 163</w:t>
            </w:r>
            <w:r w:rsidRPr="0023190D">
              <w:rPr>
                <w:rFonts w:ascii="Times New Roman" w:eastAsiaTheme="minorEastAsia" w:hAnsi="Times New Roman" w:cs="Times New Roman"/>
                <w:sz w:val="24"/>
                <w:szCs w:val="24"/>
                <w:lang w:eastAsia="ru-RU"/>
              </w:rPr>
              <w:t>.</w:t>
            </w:r>
          </w:p>
          <w:p w:rsidR="000B61AD" w:rsidRPr="00656487" w:rsidRDefault="000B61AD" w:rsidP="00656487">
            <w:pPr>
              <w:autoSpaceDE w:val="0"/>
              <w:autoSpaceDN w:val="0"/>
              <w:spacing w:after="0" w:line="240" w:lineRule="auto"/>
              <w:ind w:left="142" w:right="57"/>
              <w:jc w:val="both"/>
              <w:rPr>
                <w:rFonts w:ascii="Times New Roman" w:eastAsiaTheme="minorEastAsia" w:hAnsi="Times New Roman" w:cs="Times New Roman"/>
                <w:sz w:val="24"/>
                <w:szCs w:val="24"/>
                <w:lang w:eastAsia="ru-RU"/>
              </w:rPr>
            </w:pPr>
          </w:p>
        </w:tc>
      </w:tr>
    </w:tbl>
    <w:p w:rsidR="00F3211B" w:rsidRPr="00F3211B" w:rsidRDefault="00F3211B" w:rsidP="00F3211B">
      <w:pPr>
        <w:autoSpaceDE w:val="0"/>
        <w:autoSpaceDN w:val="0"/>
        <w:spacing w:after="0" w:line="240" w:lineRule="auto"/>
        <w:rPr>
          <w:rFonts w:ascii="Times New Roman" w:eastAsiaTheme="minorEastAsia" w:hAnsi="Times New Roman" w:cs="Times New Roman"/>
          <w:sz w:val="24"/>
          <w:szCs w:val="24"/>
          <w:lang w:eastAsia="ru-RU"/>
        </w:rPr>
      </w:pPr>
    </w:p>
    <w:tbl>
      <w:tblPr>
        <w:tblW w:w="9780" w:type="dxa"/>
        <w:tblLayout w:type="fixed"/>
        <w:tblCellMar>
          <w:left w:w="28" w:type="dxa"/>
          <w:right w:w="28" w:type="dxa"/>
        </w:tblCellMar>
        <w:tblLook w:val="0000" w:firstRow="0" w:lastRow="0" w:firstColumn="0" w:lastColumn="0" w:noHBand="0" w:noVBand="0"/>
      </w:tblPr>
      <w:tblGrid>
        <w:gridCol w:w="2013"/>
        <w:gridCol w:w="198"/>
        <w:gridCol w:w="397"/>
        <w:gridCol w:w="255"/>
        <w:gridCol w:w="1474"/>
        <w:gridCol w:w="397"/>
        <w:gridCol w:w="369"/>
        <w:gridCol w:w="454"/>
        <w:gridCol w:w="1701"/>
        <w:gridCol w:w="340"/>
        <w:gridCol w:w="2069"/>
        <w:gridCol w:w="113"/>
      </w:tblGrid>
      <w:tr w:rsidR="00F3211B" w:rsidRPr="00F3211B" w:rsidTr="00FE48F8">
        <w:tc>
          <w:tcPr>
            <w:tcW w:w="9780" w:type="dxa"/>
            <w:gridSpan w:val="12"/>
            <w:tcBorders>
              <w:top w:val="single" w:sz="4" w:space="0" w:color="auto"/>
              <w:left w:val="single" w:sz="4" w:space="0" w:color="auto"/>
              <w:bottom w:val="single" w:sz="4" w:space="0" w:color="auto"/>
              <w:right w:val="single" w:sz="4" w:space="0" w:color="auto"/>
            </w:tcBorders>
          </w:tcPr>
          <w:p w:rsidR="00F3211B" w:rsidRPr="00F3211B" w:rsidRDefault="00F3211B" w:rsidP="00F3211B">
            <w:pPr>
              <w:autoSpaceDE w:val="0"/>
              <w:autoSpaceDN w:val="0"/>
              <w:spacing w:after="0" w:line="240" w:lineRule="auto"/>
              <w:jc w:val="center"/>
              <w:rPr>
                <w:rFonts w:ascii="Times New Roman" w:eastAsiaTheme="minorEastAsia" w:hAnsi="Times New Roman" w:cs="Times New Roman"/>
                <w:sz w:val="24"/>
                <w:szCs w:val="24"/>
                <w:lang w:eastAsia="ru-RU"/>
              </w:rPr>
            </w:pPr>
            <w:r w:rsidRPr="00F3211B">
              <w:rPr>
                <w:rFonts w:ascii="Times New Roman" w:eastAsiaTheme="minorEastAsia" w:hAnsi="Times New Roman" w:cs="Times New Roman"/>
                <w:sz w:val="24"/>
                <w:szCs w:val="24"/>
                <w:lang w:eastAsia="ru-RU"/>
              </w:rPr>
              <w:t>3. Подпись</w:t>
            </w:r>
          </w:p>
        </w:tc>
      </w:tr>
      <w:tr w:rsidR="0059729E" w:rsidRPr="00F3211B" w:rsidTr="00FE48F8">
        <w:tc>
          <w:tcPr>
            <w:tcW w:w="5557" w:type="dxa"/>
            <w:gridSpan w:val="8"/>
            <w:tcBorders>
              <w:top w:val="single" w:sz="4" w:space="0" w:color="auto"/>
              <w:left w:val="single" w:sz="4" w:space="0" w:color="auto"/>
              <w:bottom w:val="nil"/>
              <w:right w:val="nil"/>
            </w:tcBorders>
            <w:vAlign w:val="bottom"/>
          </w:tcPr>
          <w:p w:rsidR="0059729E" w:rsidRDefault="0059729E" w:rsidP="00656487">
            <w:pPr>
              <w:autoSpaceDE w:val="0"/>
              <w:autoSpaceDN w:val="0"/>
              <w:spacing w:after="0" w:line="240" w:lineRule="auto"/>
              <w:ind w:left="14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3.1. Директор Департамента корпоративного управления и взаимодействия с акционерами </w:t>
            </w:r>
            <w:r w:rsidR="00E15092">
              <w:rPr>
                <w:rFonts w:ascii="Times New Roman" w:eastAsiaTheme="minorEastAsia" w:hAnsi="Times New Roman" w:cs="Times New Roman"/>
                <w:sz w:val="24"/>
                <w:szCs w:val="24"/>
                <w:lang w:eastAsia="ru-RU"/>
              </w:rPr>
              <w:br/>
            </w:r>
            <w:r>
              <w:rPr>
                <w:rFonts w:ascii="Times New Roman" w:eastAsiaTheme="minorEastAsia" w:hAnsi="Times New Roman" w:cs="Times New Roman"/>
                <w:sz w:val="24"/>
                <w:szCs w:val="24"/>
                <w:lang w:eastAsia="ru-RU"/>
              </w:rPr>
              <w:t xml:space="preserve">ПАО «МРСК Северного Кавказа»  </w:t>
            </w:r>
          </w:p>
          <w:p w:rsidR="0059729E" w:rsidRDefault="0059729E" w:rsidP="00656487">
            <w:pPr>
              <w:autoSpaceDE w:val="0"/>
              <w:autoSpaceDN w:val="0"/>
              <w:spacing w:after="0" w:line="240" w:lineRule="auto"/>
              <w:ind w:left="14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 основании доверенности от 12.11.2015 №</w:t>
            </w:r>
            <w:r w:rsidR="006C5AE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361)</w:t>
            </w:r>
          </w:p>
        </w:tc>
        <w:tc>
          <w:tcPr>
            <w:tcW w:w="1701" w:type="dxa"/>
            <w:tcBorders>
              <w:top w:val="nil"/>
              <w:left w:val="nil"/>
              <w:bottom w:val="single" w:sz="4" w:space="0" w:color="auto"/>
              <w:right w:val="nil"/>
            </w:tcBorders>
            <w:vAlign w:val="bottom"/>
          </w:tcPr>
          <w:p w:rsidR="0059729E" w:rsidRDefault="0059729E" w:rsidP="00656487">
            <w:pPr>
              <w:autoSpaceDE w:val="0"/>
              <w:autoSpaceDN w:val="0"/>
              <w:spacing w:after="0" w:line="240" w:lineRule="auto"/>
              <w:ind w:left="142"/>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
        </w:tc>
        <w:tc>
          <w:tcPr>
            <w:tcW w:w="340" w:type="dxa"/>
            <w:tcBorders>
              <w:top w:val="nil"/>
              <w:left w:val="nil"/>
              <w:bottom w:val="nil"/>
              <w:right w:val="nil"/>
            </w:tcBorders>
            <w:vAlign w:val="bottom"/>
          </w:tcPr>
          <w:p w:rsidR="0059729E" w:rsidRDefault="0059729E" w:rsidP="00656487">
            <w:pPr>
              <w:autoSpaceDE w:val="0"/>
              <w:autoSpaceDN w:val="0"/>
              <w:spacing w:after="0" w:line="240" w:lineRule="auto"/>
              <w:ind w:left="142"/>
              <w:rPr>
                <w:rFonts w:ascii="Times New Roman" w:eastAsiaTheme="minorEastAsia" w:hAnsi="Times New Roman" w:cs="Times New Roman"/>
                <w:sz w:val="24"/>
                <w:szCs w:val="24"/>
                <w:lang w:eastAsia="ru-RU"/>
              </w:rPr>
            </w:pPr>
          </w:p>
        </w:tc>
        <w:tc>
          <w:tcPr>
            <w:tcW w:w="2069" w:type="dxa"/>
            <w:tcBorders>
              <w:top w:val="nil"/>
              <w:left w:val="nil"/>
              <w:bottom w:val="nil"/>
              <w:right w:val="nil"/>
            </w:tcBorders>
            <w:vAlign w:val="bottom"/>
          </w:tcPr>
          <w:p w:rsidR="0059729E" w:rsidRDefault="0059729E" w:rsidP="00656487">
            <w:pPr>
              <w:autoSpaceDE w:val="0"/>
              <w:autoSpaceDN w:val="0"/>
              <w:spacing w:after="0" w:line="240" w:lineRule="auto"/>
              <w:ind w:left="142"/>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М.Х. Кумукова</w:t>
            </w:r>
          </w:p>
        </w:tc>
        <w:tc>
          <w:tcPr>
            <w:tcW w:w="113" w:type="dxa"/>
            <w:tcBorders>
              <w:top w:val="single" w:sz="4" w:space="0" w:color="auto"/>
              <w:left w:val="nil"/>
              <w:bottom w:val="nil"/>
              <w:right w:val="single" w:sz="4" w:space="0" w:color="auto"/>
            </w:tcBorders>
            <w:vAlign w:val="bottom"/>
          </w:tcPr>
          <w:p w:rsidR="0059729E" w:rsidRPr="00F3211B" w:rsidRDefault="0059729E" w:rsidP="00F3211B">
            <w:pPr>
              <w:autoSpaceDE w:val="0"/>
              <w:autoSpaceDN w:val="0"/>
              <w:spacing w:after="0" w:line="240" w:lineRule="auto"/>
              <w:rPr>
                <w:rFonts w:ascii="Times New Roman" w:eastAsiaTheme="minorEastAsia" w:hAnsi="Times New Roman" w:cs="Times New Roman"/>
                <w:sz w:val="24"/>
                <w:szCs w:val="24"/>
                <w:lang w:eastAsia="ru-RU"/>
              </w:rPr>
            </w:pPr>
          </w:p>
        </w:tc>
      </w:tr>
      <w:tr w:rsidR="00F3211B" w:rsidRPr="00F3211B" w:rsidTr="00FE48F8">
        <w:tc>
          <w:tcPr>
            <w:tcW w:w="5557" w:type="dxa"/>
            <w:gridSpan w:val="8"/>
            <w:tcBorders>
              <w:top w:val="nil"/>
              <w:left w:val="single" w:sz="4" w:space="0" w:color="auto"/>
              <w:bottom w:val="nil"/>
              <w:right w:val="nil"/>
            </w:tcBorders>
          </w:tcPr>
          <w:p w:rsidR="00F3211B" w:rsidRPr="00F3211B" w:rsidRDefault="00F3211B" w:rsidP="00F3211B">
            <w:pPr>
              <w:autoSpaceDE w:val="0"/>
              <w:autoSpaceDN w:val="0"/>
              <w:spacing w:after="0" w:line="240" w:lineRule="auto"/>
              <w:ind w:left="57"/>
              <w:rPr>
                <w:rFonts w:ascii="Times New Roman" w:eastAsiaTheme="minorEastAsia" w:hAnsi="Times New Roman" w:cs="Times New Roman"/>
                <w:sz w:val="24"/>
                <w:szCs w:val="24"/>
                <w:lang w:eastAsia="ru-RU"/>
              </w:rPr>
            </w:pPr>
          </w:p>
        </w:tc>
        <w:tc>
          <w:tcPr>
            <w:tcW w:w="1701" w:type="dxa"/>
            <w:tcBorders>
              <w:top w:val="nil"/>
              <w:left w:val="nil"/>
              <w:bottom w:val="nil"/>
              <w:right w:val="nil"/>
            </w:tcBorders>
          </w:tcPr>
          <w:p w:rsidR="00F3211B" w:rsidRPr="00F3211B" w:rsidRDefault="00F3211B" w:rsidP="00F3211B">
            <w:pPr>
              <w:autoSpaceDE w:val="0"/>
              <w:autoSpaceDN w:val="0"/>
              <w:spacing w:after="0" w:line="240" w:lineRule="auto"/>
              <w:jc w:val="center"/>
              <w:rPr>
                <w:rFonts w:ascii="Times New Roman" w:eastAsiaTheme="minorEastAsia" w:hAnsi="Times New Roman" w:cs="Times New Roman"/>
                <w:sz w:val="20"/>
                <w:szCs w:val="20"/>
                <w:lang w:eastAsia="ru-RU"/>
              </w:rPr>
            </w:pPr>
            <w:r w:rsidRPr="00F3211B">
              <w:rPr>
                <w:rFonts w:ascii="Times New Roman" w:eastAsiaTheme="minorEastAsia" w:hAnsi="Times New Roman" w:cs="Times New Roman"/>
                <w:sz w:val="20"/>
                <w:szCs w:val="20"/>
                <w:lang w:eastAsia="ru-RU"/>
              </w:rPr>
              <w:t>(подпись)</w:t>
            </w:r>
          </w:p>
        </w:tc>
        <w:tc>
          <w:tcPr>
            <w:tcW w:w="340" w:type="dxa"/>
            <w:tcBorders>
              <w:top w:val="nil"/>
              <w:left w:val="nil"/>
              <w:bottom w:val="nil"/>
              <w:right w:val="nil"/>
            </w:tcBorders>
          </w:tcPr>
          <w:p w:rsidR="00F3211B" w:rsidRPr="00F3211B" w:rsidRDefault="00F3211B" w:rsidP="00F3211B">
            <w:pPr>
              <w:autoSpaceDE w:val="0"/>
              <w:autoSpaceDN w:val="0"/>
              <w:spacing w:after="0" w:line="240" w:lineRule="auto"/>
              <w:rPr>
                <w:rFonts w:ascii="Times New Roman" w:eastAsiaTheme="minorEastAsia" w:hAnsi="Times New Roman" w:cs="Times New Roman"/>
                <w:sz w:val="20"/>
                <w:szCs w:val="20"/>
                <w:lang w:eastAsia="ru-RU"/>
              </w:rPr>
            </w:pPr>
          </w:p>
        </w:tc>
        <w:tc>
          <w:tcPr>
            <w:tcW w:w="2069" w:type="dxa"/>
            <w:tcBorders>
              <w:top w:val="nil"/>
              <w:left w:val="nil"/>
              <w:bottom w:val="nil"/>
              <w:right w:val="nil"/>
            </w:tcBorders>
          </w:tcPr>
          <w:p w:rsidR="00F3211B" w:rsidRPr="00F3211B" w:rsidRDefault="00F3211B" w:rsidP="00F3211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13" w:type="dxa"/>
            <w:tcBorders>
              <w:top w:val="nil"/>
              <w:left w:val="nil"/>
              <w:bottom w:val="nil"/>
              <w:right w:val="single" w:sz="4" w:space="0" w:color="auto"/>
            </w:tcBorders>
          </w:tcPr>
          <w:p w:rsidR="00F3211B" w:rsidRPr="00F3211B" w:rsidRDefault="00F3211B" w:rsidP="00F3211B">
            <w:pPr>
              <w:autoSpaceDE w:val="0"/>
              <w:autoSpaceDN w:val="0"/>
              <w:spacing w:after="0" w:line="240" w:lineRule="auto"/>
              <w:rPr>
                <w:rFonts w:ascii="Times New Roman" w:eastAsiaTheme="minorEastAsia" w:hAnsi="Times New Roman" w:cs="Times New Roman"/>
                <w:sz w:val="24"/>
                <w:szCs w:val="24"/>
                <w:lang w:eastAsia="ru-RU"/>
              </w:rPr>
            </w:pPr>
          </w:p>
        </w:tc>
      </w:tr>
      <w:tr w:rsidR="00701D8F" w:rsidRPr="00F3211B" w:rsidTr="00FE48F8">
        <w:tc>
          <w:tcPr>
            <w:tcW w:w="2013" w:type="dxa"/>
            <w:tcBorders>
              <w:top w:val="nil"/>
              <w:left w:val="single" w:sz="4" w:space="0" w:color="auto"/>
              <w:bottom w:val="nil"/>
              <w:right w:val="nil"/>
            </w:tcBorders>
            <w:vAlign w:val="bottom"/>
          </w:tcPr>
          <w:p w:rsidR="00F3211B" w:rsidRPr="00F3211B" w:rsidRDefault="00F3211B" w:rsidP="00656487">
            <w:pPr>
              <w:autoSpaceDE w:val="0"/>
              <w:autoSpaceDN w:val="0"/>
              <w:spacing w:before="240" w:after="0" w:line="240" w:lineRule="auto"/>
              <w:ind w:left="142" w:hanging="85"/>
              <w:rPr>
                <w:rFonts w:ascii="Times New Roman" w:eastAsiaTheme="minorEastAsia" w:hAnsi="Times New Roman" w:cs="Times New Roman"/>
                <w:sz w:val="24"/>
                <w:szCs w:val="24"/>
                <w:lang w:eastAsia="ru-RU"/>
              </w:rPr>
            </w:pPr>
            <w:r w:rsidRPr="00F3211B">
              <w:rPr>
                <w:rFonts w:ascii="Times New Roman" w:eastAsiaTheme="minorEastAsia" w:hAnsi="Times New Roman" w:cs="Times New Roman"/>
                <w:sz w:val="24"/>
                <w:szCs w:val="24"/>
                <w:lang w:eastAsia="ru-RU"/>
              </w:rPr>
              <w:t>3.2. Дата</w:t>
            </w:r>
            <w:r w:rsidR="00E15092">
              <w:rPr>
                <w:rFonts w:ascii="Times New Roman" w:eastAsiaTheme="minorEastAsia" w:hAnsi="Times New Roman" w:cs="Times New Roman"/>
                <w:sz w:val="24"/>
                <w:szCs w:val="24"/>
                <w:lang w:eastAsia="ru-RU"/>
              </w:rPr>
              <w:t xml:space="preserve"> подписи</w:t>
            </w:r>
          </w:p>
        </w:tc>
        <w:tc>
          <w:tcPr>
            <w:tcW w:w="198" w:type="dxa"/>
            <w:tcBorders>
              <w:top w:val="nil"/>
              <w:left w:val="nil"/>
              <w:bottom w:val="nil"/>
              <w:right w:val="nil"/>
            </w:tcBorders>
            <w:vAlign w:val="bottom"/>
          </w:tcPr>
          <w:p w:rsidR="00F3211B" w:rsidRPr="00F3211B" w:rsidRDefault="00F3211B" w:rsidP="00F3211B">
            <w:pPr>
              <w:autoSpaceDE w:val="0"/>
              <w:autoSpaceDN w:val="0"/>
              <w:spacing w:after="0" w:line="240" w:lineRule="auto"/>
              <w:jc w:val="right"/>
              <w:rPr>
                <w:rFonts w:ascii="Times New Roman" w:eastAsiaTheme="minorEastAsia" w:hAnsi="Times New Roman" w:cs="Times New Roman"/>
                <w:sz w:val="24"/>
                <w:szCs w:val="24"/>
                <w:lang w:eastAsia="ru-RU"/>
              </w:rPr>
            </w:pPr>
            <w:r w:rsidRPr="00F3211B">
              <w:rPr>
                <w:rFonts w:ascii="Times New Roman" w:eastAsiaTheme="minorEastAsia" w:hAnsi="Times New Roman" w:cs="Times New Roman"/>
                <w:sz w:val="24"/>
                <w:szCs w:val="24"/>
                <w:lang w:eastAsia="ru-RU"/>
              </w:rPr>
              <w:t>“</w:t>
            </w:r>
          </w:p>
        </w:tc>
        <w:tc>
          <w:tcPr>
            <w:tcW w:w="397" w:type="dxa"/>
            <w:tcBorders>
              <w:top w:val="nil"/>
              <w:left w:val="nil"/>
              <w:bottom w:val="single" w:sz="4" w:space="0" w:color="auto"/>
              <w:right w:val="nil"/>
            </w:tcBorders>
            <w:vAlign w:val="bottom"/>
          </w:tcPr>
          <w:p w:rsidR="00F3211B" w:rsidRPr="00F3211B" w:rsidRDefault="008930DA" w:rsidP="00866B48">
            <w:pPr>
              <w:autoSpaceDE w:val="0"/>
              <w:autoSpaceDN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9B5A41">
              <w:rPr>
                <w:rFonts w:ascii="Times New Roman" w:eastAsiaTheme="minorEastAsia" w:hAnsi="Times New Roman" w:cs="Times New Roman"/>
                <w:sz w:val="24"/>
                <w:szCs w:val="24"/>
                <w:lang w:eastAsia="ru-RU"/>
              </w:rPr>
              <w:t>8</w:t>
            </w:r>
            <w:bookmarkStart w:id="0" w:name="_GoBack"/>
            <w:bookmarkEnd w:id="0"/>
          </w:p>
        </w:tc>
        <w:tc>
          <w:tcPr>
            <w:tcW w:w="255" w:type="dxa"/>
            <w:tcBorders>
              <w:top w:val="nil"/>
              <w:left w:val="nil"/>
              <w:bottom w:val="nil"/>
              <w:right w:val="nil"/>
            </w:tcBorders>
            <w:vAlign w:val="bottom"/>
          </w:tcPr>
          <w:p w:rsidR="00F3211B" w:rsidRPr="00F3211B" w:rsidRDefault="00F3211B" w:rsidP="00F3211B">
            <w:pPr>
              <w:autoSpaceDE w:val="0"/>
              <w:autoSpaceDN w:val="0"/>
              <w:spacing w:after="0" w:line="240" w:lineRule="auto"/>
              <w:rPr>
                <w:rFonts w:ascii="Times New Roman" w:eastAsiaTheme="minorEastAsia" w:hAnsi="Times New Roman" w:cs="Times New Roman"/>
                <w:sz w:val="24"/>
                <w:szCs w:val="24"/>
                <w:lang w:eastAsia="ru-RU"/>
              </w:rPr>
            </w:pPr>
            <w:r w:rsidRPr="00F3211B">
              <w:rPr>
                <w:rFonts w:ascii="Times New Roman" w:eastAsiaTheme="minorEastAsia" w:hAnsi="Times New Roman" w:cs="Times New Roman"/>
                <w:sz w:val="24"/>
                <w:szCs w:val="24"/>
                <w:lang w:eastAsia="ru-RU"/>
              </w:rPr>
              <w:t>”</w:t>
            </w:r>
          </w:p>
        </w:tc>
        <w:tc>
          <w:tcPr>
            <w:tcW w:w="1474" w:type="dxa"/>
            <w:tcBorders>
              <w:top w:val="nil"/>
              <w:left w:val="nil"/>
              <w:bottom w:val="single" w:sz="4" w:space="0" w:color="auto"/>
              <w:right w:val="nil"/>
            </w:tcBorders>
            <w:vAlign w:val="bottom"/>
          </w:tcPr>
          <w:p w:rsidR="00F3211B" w:rsidRPr="00F3211B" w:rsidRDefault="00866B48" w:rsidP="00F1254D">
            <w:pPr>
              <w:autoSpaceDE w:val="0"/>
              <w:autoSpaceDN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апреля</w:t>
            </w:r>
          </w:p>
        </w:tc>
        <w:tc>
          <w:tcPr>
            <w:tcW w:w="397" w:type="dxa"/>
            <w:tcBorders>
              <w:top w:val="nil"/>
              <w:left w:val="nil"/>
              <w:bottom w:val="nil"/>
              <w:right w:val="nil"/>
            </w:tcBorders>
            <w:vAlign w:val="bottom"/>
          </w:tcPr>
          <w:p w:rsidR="00F3211B" w:rsidRPr="00F3211B" w:rsidRDefault="00F3211B" w:rsidP="00F3211B">
            <w:pPr>
              <w:autoSpaceDE w:val="0"/>
              <w:autoSpaceDN w:val="0"/>
              <w:spacing w:after="0" w:line="240" w:lineRule="auto"/>
              <w:jc w:val="right"/>
              <w:rPr>
                <w:rFonts w:ascii="Times New Roman" w:eastAsiaTheme="minorEastAsia" w:hAnsi="Times New Roman" w:cs="Times New Roman"/>
                <w:sz w:val="24"/>
                <w:szCs w:val="24"/>
                <w:lang w:eastAsia="ru-RU"/>
              </w:rPr>
            </w:pPr>
            <w:r w:rsidRPr="00F3211B">
              <w:rPr>
                <w:rFonts w:ascii="Times New Roman" w:eastAsiaTheme="minorEastAsia"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F3211B" w:rsidRPr="00F3211B" w:rsidRDefault="00C20DE8" w:rsidP="00F3211B">
            <w:pPr>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c>
          <w:tcPr>
            <w:tcW w:w="454" w:type="dxa"/>
            <w:tcBorders>
              <w:top w:val="nil"/>
              <w:left w:val="nil"/>
              <w:bottom w:val="nil"/>
              <w:right w:val="nil"/>
            </w:tcBorders>
            <w:vAlign w:val="bottom"/>
          </w:tcPr>
          <w:p w:rsidR="00F3211B" w:rsidRPr="00F3211B" w:rsidRDefault="00F3211B" w:rsidP="00F3211B">
            <w:pPr>
              <w:autoSpaceDE w:val="0"/>
              <w:autoSpaceDN w:val="0"/>
              <w:spacing w:after="0" w:line="240" w:lineRule="auto"/>
              <w:ind w:left="57"/>
              <w:rPr>
                <w:rFonts w:ascii="Times New Roman" w:eastAsiaTheme="minorEastAsia" w:hAnsi="Times New Roman" w:cs="Times New Roman"/>
                <w:sz w:val="24"/>
                <w:szCs w:val="24"/>
                <w:lang w:eastAsia="ru-RU"/>
              </w:rPr>
            </w:pPr>
            <w:proofErr w:type="gramStart"/>
            <w:r w:rsidRPr="00F3211B">
              <w:rPr>
                <w:rFonts w:ascii="Times New Roman" w:eastAsiaTheme="minorEastAsia" w:hAnsi="Times New Roman" w:cs="Times New Roman"/>
                <w:sz w:val="24"/>
                <w:szCs w:val="24"/>
                <w:lang w:eastAsia="ru-RU"/>
              </w:rPr>
              <w:t>г</w:t>
            </w:r>
            <w:proofErr w:type="gramEnd"/>
            <w:r w:rsidRPr="00F3211B">
              <w:rPr>
                <w:rFonts w:ascii="Times New Roman" w:eastAsiaTheme="minorEastAsia" w:hAnsi="Times New Roman" w:cs="Times New Roman"/>
                <w:sz w:val="24"/>
                <w:szCs w:val="24"/>
                <w:lang w:eastAsia="ru-RU"/>
              </w:rPr>
              <w:t>.</w:t>
            </w:r>
          </w:p>
        </w:tc>
        <w:tc>
          <w:tcPr>
            <w:tcW w:w="1701" w:type="dxa"/>
            <w:tcBorders>
              <w:top w:val="nil"/>
              <w:left w:val="nil"/>
              <w:bottom w:val="nil"/>
              <w:right w:val="nil"/>
            </w:tcBorders>
            <w:vAlign w:val="bottom"/>
          </w:tcPr>
          <w:p w:rsidR="00F3211B" w:rsidRPr="00F3211B" w:rsidRDefault="00F3211B" w:rsidP="00F3211B">
            <w:pPr>
              <w:autoSpaceDE w:val="0"/>
              <w:autoSpaceDN w:val="0"/>
              <w:spacing w:after="0" w:line="240" w:lineRule="auto"/>
              <w:jc w:val="center"/>
              <w:rPr>
                <w:rFonts w:ascii="Times New Roman" w:eastAsiaTheme="minorEastAsia" w:hAnsi="Times New Roman" w:cs="Times New Roman"/>
                <w:sz w:val="24"/>
                <w:szCs w:val="24"/>
                <w:lang w:eastAsia="ru-RU"/>
              </w:rPr>
            </w:pPr>
            <w:r w:rsidRPr="00F3211B">
              <w:rPr>
                <w:rFonts w:ascii="Times New Roman" w:eastAsiaTheme="minorEastAsia" w:hAnsi="Times New Roman" w:cs="Times New Roman"/>
                <w:sz w:val="24"/>
                <w:szCs w:val="24"/>
                <w:lang w:eastAsia="ru-RU"/>
              </w:rPr>
              <w:t>М.П.</w:t>
            </w:r>
          </w:p>
        </w:tc>
        <w:tc>
          <w:tcPr>
            <w:tcW w:w="2522" w:type="dxa"/>
            <w:gridSpan w:val="3"/>
            <w:tcBorders>
              <w:top w:val="nil"/>
              <w:left w:val="nil"/>
              <w:bottom w:val="nil"/>
              <w:right w:val="single" w:sz="4" w:space="0" w:color="auto"/>
            </w:tcBorders>
            <w:vAlign w:val="bottom"/>
          </w:tcPr>
          <w:p w:rsidR="00F3211B" w:rsidRPr="00F3211B" w:rsidRDefault="00F3211B" w:rsidP="00F3211B">
            <w:pPr>
              <w:autoSpaceDE w:val="0"/>
              <w:autoSpaceDN w:val="0"/>
              <w:spacing w:after="0" w:line="240" w:lineRule="auto"/>
              <w:rPr>
                <w:rFonts w:ascii="Times New Roman" w:eastAsiaTheme="minorEastAsia" w:hAnsi="Times New Roman" w:cs="Times New Roman"/>
                <w:sz w:val="24"/>
                <w:szCs w:val="24"/>
                <w:lang w:eastAsia="ru-RU"/>
              </w:rPr>
            </w:pPr>
          </w:p>
        </w:tc>
      </w:tr>
      <w:tr w:rsidR="00F3211B" w:rsidRPr="00F3211B" w:rsidTr="00FE48F8">
        <w:tc>
          <w:tcPr>
            <w:tcW w:w="9780" w:type="dxa"/>
            <w:gridSpan w:val="12"/>
            <w:tcBorders>
              <w:top w:val="nil"/>
              <w:left w:val="single" w:sz="4" w:space="0" w:color="auto"/>
              <w:bottom w:val="single" w:sz="4" w:space="0" w:color="auto"/>
              <w:right w:val="single" w:sz="4" w:space="0" w:color="auto"/>
            </w:tcBorders>
          </w:tcPr>
          <w:p w:rsidR="00F3211B" w:rsidRPr="00F3211B" w:rsidRDefault="00F3211B" w:rsidP="00F3211B">
            <w:pPr>
              <w:autoSpaceDE w:val="0"/>
              <w:autoSpaceDN w:val="0"/>
              <w:spacing w:after="0" w:line="240" w:lineRule="auto"/>
              <w:rPr>
                <w:rFonts w:ascii="Times New Roman" w:eastAsiaTheme="minorEastAsia" w:hAnsi="Times New Roman" w:cs="Times New Roman"/>
                <w:sz w:val="24"/>
                <w:szCs w:val="24"/>
                <w:lang w:eastAsia="ru-RU"/>
              </w:rPr>
            </w:pPr>
          </w:p>
        </w:tc>
      </w:tr>
    </w:tbl>
    <w:p w:rsidR="0043579B" w:rsidRDefault="0043579B"/>
    <w:sectPr w:rsidR="0043579B" w:rsidSect="000E0E3F">
      <w:footerReference w:type="default" r:id="rId9"/>
      <w:pgSz w:w="11906" w:h="16838"/>
      <w:pgMar w:top="1134" w:right="14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A08" w:rsidRDefault="006D5A08" w:rsidP="000E0E3F">
      <w:pPr>
        <w:spacing w:after="0" w:line="240" w:lineRule="auto"/>
      </w:pPr>
      <w:r>
        <w:separator/>
      </w:r>
    </w:p>
  </w:endnote>
  <w:endnote w:type="continuationSeparator" w:id="0">
    <w:p w:rsidR="006D5A08" w:rsidRDefault="006D5A08" w:rsidP="000E0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683449"/>
      <w:docPartObj>
        <w:docPartGallery w:val="Page Numbers (Bottom of Page)"/>
        <w:docPartUnique/>
      </w:docPartObj>
    </w:sdtPr>
    <w:sdtEndPr/>
    <w:sdtContent>
      <w:p w:rsidR="000E0E3F" w:rsidRDefault="000E0E3F">
        <w:pPr>
          <w:pStyle w:val="a9"/>
          <w:jc w:val="center"/>
        </w:pPr>
        <w:r>
          <w:fldChar w:fldCharType="begin"/>
        </w:r>
        <w:r>
          <w:instrText>PAGE   \* MERGEFORMAT</w:instrText>
        </w:r>
        <w:r>
          <w:fldChar w:fldCharType="separate"/>
        </w:r>
        <w:r w:rsidR="009B5A41">
          <w:rPr>
            <w:noProof/>
          </w:rPr>
          <w:t>2</w:t>
        </w:r>
        <w:r>
          <w:fldChar w:fldCharType="end"/>
        </w:r>
      </w:p>
    </w:sdtContent>
  </w:sdt>
  <w:p w:rsidR="000E0E3F" w:rsidRDefault="000E0E3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A08" w:rsidRDefault="006D5A08" w:rsidP="000E0E3F">
      <w:pPr>
        <w:spacing w:after="0" w:line="240" w:lineRule="auto"/>
      </w:pPr>
      <w:r>
        <w:separator/>
      </w:r>
    </w:p>
  </w:footnote>
  <w:footnote w:type="continuationSeparator" w:id="0">
    <w:p w:rsidR="006D5A08" w:rsidRDefault="006D5A08" w:rsidP="000E0E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633A"/>
    <w:multiLevelType w:val="multilevel"/>
    <w:tmpl w:val="5C1E882C"/>
    <w:lvl w:ilvl="0">
      <w:start w:val="1"/>
      <w:numFmt w:val="decimal"/>
      <w:lvlText w:val="%1."/>
      <w:lvlJc w:val="left"/>
      <w:pPr>
        <w:ind w:left="702" w:hanging="645"/>
      </w:pPr>
      <w:rPr>
        <w:rFonts w:hint="default"/>
      </w:rPr>
    </w:lvl>
    <w:lvl w:ilvl="1">
      <w:start w:val="4"/>
      <w:numFmt w:val="decimal"/>
      <w:isLgl/>
      <w:lvlText w:val="%1.%2."/>
      <w:lvlJc w:val="left"/>
      <w:pPr>
        <w:ind w:left="502"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11B"/>
    <w:rsid w:val="000B61AD"/>
    <w:rsid w:val="000E0E3F"/>
    <w:rsid w:val="001676A7"/>
    <w:rsid w:val="001D6343"/>
    <w:rsid w:val="0023190D"/>
    <w:rsid w:val="003323F3"/>
    <w:rsid w:val="00396A50"/>
    <w:rsid w:val="0043579B"/>
    <w:rsid w:val="00471A6F"/>
    <w:rsid w:val="004A1A40"/>
    <w:rsid w:val="004B015A"/>
    <w:rsid w:val="004F0C98"/>
    <w:rsid w:val="005307F9"/>
    <w:rsid w:val="005342DA"/>
    <w:rsid w:val="00596CF1"/>
    <w:rsid w:val="0059729E"/>
    <w:rsid w:val="005F6BB7"/>
    <w:rsid w:val="00656487"/>
    <w:rsid w:val="006C5AED"/>
    <w:rsid w:val="006D5A08"/>
    <w:rsid w:val="00701D8F"/>
    <w:rsid w:val="007E6F56"/>
    <w:rsid w:val="00866B48"/>
    <w:rsid w:val="008930DA"/>
    <w:rsid w:val="009B5A41"/>
    <w:rsid w:val="00B47FB3"/>
    <w:rsid w:val="00BB7219"/>
    <w:rsid w:val="00C20DE8"/>
    <w:rsid w:val="00C233F5"/>
    <w:rsid w:val="00C53AB6"/>
    <w:rsid w:val="00C81017"/>
    <w:rsid w:val="00E15092"/>
    <w:rsid w:val="00F1254D"/>
    <w:rsid w:val="00F1451F"/>
    <w:rsid w:val="00F3211B"/>
    <w:rsid w:val="00F736CF"/>
    <w:rsid w:val="00F94E85"/>
    <w:rsid w:val="00FE4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7F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7FB3"/>
    <w:rPr>
      <w:rFonts w:ascii="Tahoma" w:hAnsi="Tahoma" w:cs="Tahoma"/>
      <w:sz w:val="16"/>
      <w:szCs w:val="16"/>
    </w:rPr>
  </w:style>
  <w:style w:type="character" w:styleId="a5">
    <w:name w:val="Hyperlink"/>
    <w:basedOn w:val="a0"/>
    <w:uiPriority w:val="99"/>
    <w:unhideWhenUsed/>
    <w:rsid w:val="00701D8F"/>
    <w:rPr>
      <w:color w:val="0000FF" w:themeColor="hyperlink"/>
      <w:u w:val="single"/>
    </w:rPr>
  </w:style>
  <w:style w:type="paragraph" w:styleId="a6">
    <w:name w:val="List Paragraph"/>
    <w:basedOn w:val="a"/>
    <w:uiPriority w:val="34"/>
    <w:qFormat/>
    <w:rsid w:val="000B61AD"/>
    <w:pPr>
      <w:ind w:left="720"/>
      <w:contextualSpacing/>
    </w:pPr>
  </w:style>
  <w:style w:type="paragraph" w:styleId="a7">
    <w:name w:val="header"/>
    <w:basedOn w:val="a"/>
    <w:link w:val="a8"/>
    <w:uiPriority w:val="99"/>
    <w:unhideWhenUsed/>
    <w:rsid w:val="000E0E3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E0E3F"/>
  </w:style>
  <w:style w:type="paragraph" w:styleId="a9">
    <w:name w:val="footer"/>
    <w:basedOn w:val="a"/>
    <w:link w:val="aa"/>
    <w:uiPriority w:val="99"/>
    <w:unhideWhenUsed/>
    <w:rsid w:val="000E0E3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E0E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7F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7FB3"/>
    <w:rPr>
      <w:rFonts w:ascii="Tahoma" w:hAnsi="Tahoma" w:cs="Tahoma"/>
      <w:sz w:val="16"/>
      <w:szCs w:val="16"/>
    </w:rPr>
  </w:style>
  <w:style w:type="character" w:styleId="a5">
    <w:name w:val="Hyperlink"/>
    <w:basedOn w:val="a0"/>
    <w:uiPriority w:val="99"/>
    <w:unhideWhenUsed/>
    <w:rsid w:val="00701D8F"/>
    <w:rPr>
      <w:color w:val="0000FF" w:themeColor="hyperlink"/>
      <w:u w:val="single"/>
    </w:rPr>
  </w:style>
  <w:style w:type="paragraph" w:styleId="a6">
    <w:name w:val="List Paragraph"/>
    <w:basedOn w:val="a"/>
    <w:uiPriority w:val="34"/>
    <w:qFormat/>
    <w:rsid w:val="000B61AD"/>
    <w:pPr>
      <w:ind w:left="720"/>
      <w:contextualSpacing/>
    </w:pPr>
  </w:style>
  <w:style w:type="paragraph" w:styleId="a7">
    <w:name w:val="header"/>
    <w:basedOn w:val="a"/>
    <w:link w:val="a8"/>
    <w:uiPriority w:val="99"/>
    <w:unhideWhenUsed/>
    <w:rsid w:val="000E0E3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E0E3F"/>
  </w:style>
  <w:style w:type="paragraph" w:styleId="a9">
    <w:name w:val="footer"/>
    <w:basedOn w:val="a"/>
    <w:link w:val="aa"/>
    <w:uiPriority w:val="99"/>
    <w:unhideWhenUsed/>
    <w:rsid w:val="000E0E3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E0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69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closure.skrin.ru/disclosure/150200270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694</Words>
  <Characters>3962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Николова Залина Юрьевна</dc:creator>
  <cp:lastModifiedBy>Фомина Ольга Александровна</cp:lastModifiedBy>
  <cp:revision>7</cp:revision>
  <cp:lastPrinted>2016-03-14T15:27:00Z</cp:lastPrinted>
  <dcterms:created xsi:type="dcterms:W3CDTF">2016-04-19T13:55:00Z</dcterms:created>
  <dcterms:modified xsi:type="dcterms:W3CDTF">2016-04-19T14:29:00Z</dcterms:modified>
</cp:coreProperties>
</file>