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08195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</w:t>
            </w:r>
            <w:proofErr w:type="gramEnd"/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2698" w:rsidRPr="00CC2698" w:rsidRDefault="00A05873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C2698"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утверждении отчета об исполнении бизнес-плана Общества, включающего инвестиционную программу, за 1 квартал 2016 года.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 рассмотрении отчета единоличного исполнительного органа Общества о выполнении в 1 квартале 2016 года решений, принятых на заседаниях Совета директоров Общества.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 рассмотрении отчета управляющей организации об услугах, оказанных по договору о передаче полномочий единоличного ис</w:t>
            </w:r>
            <w:r w:rsidR="003B7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полнительного органа </w:t>
            </w: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«Севкавказэнерго», за 4 квартал 2015 года.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О рассмотрении отчета управляющей организации об услугах, оказанных по договору о передаче полномочий единоличного исполнительного органа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«Севкавказэнерго», за 1 квартал 2016 года.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О рассмотрении отчета внутреннего аудитора Общества об эффективности системы внутреннего контрол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и системы управления рисками</w:t>
            </w:r>
            <w:r w:rsidR="005216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«Севкавказэнерго» по итогам 2015 года.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Об одобрении договора куп</w:t>
            </w:r>
            <w:r w:rsidR="005216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ли-продажи приборов учета между</w:t>
            </w: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ПАО «Севкавказэнерго» и ПАО «МРСК Северного Кавказа», являющегося сделкой, в совершении которой имеется заинтересованность.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Об утверждении отчета единоличного исполнительного органа Общества об итогах </w:t>
            </w:r>
            <w:proofErr w:type="gramStart"/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целевых значений ключевых показателей эффективности Общества</w:t>
            </w:r>
            <w:proofErr w:type="gramEnd"/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4 квартал 2015 года и 2015 год.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О рассмотрении отчета единоличного исполнительного органа Общества о причинах перевыполнения инвестиционной программы и принятых мерах в отношении должностных лиц, ответственных за исполнение данного мероприятия.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О рассмотрении отчета единоличного исполнительного органа Общества о причинах </w:t>
            </w: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неисполнения Директивы Правительства РФ от 16.04.2015 №2303п-П13 в части сокращения операционных расходов в 2015 году и принятых мерах в отношении должностных лиц, ответственных за исполнение данного мероприятия.</w:t>
            </w:r>
          </w:p>
          <w:p w:rsidR="00CC2698" w:rsidRPr="00CC2698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Об исполнении п.2 решения Совета директоров Общества от 13.10.2015 (Протокол от 15.10.2015 №152) по вопросу №10: «Об утверждении плана корректирующих мероприятий ПАО «Севкавказэнерго» по устранению нарушений и недостатков, выявленных Ревизионной комиссией».</w:t>
            </w:r>
          </w:p>
          <w:p w:rsidR="007F78F3" w:rsidRPr="00F3211B" w:rsidRDefault="00CC2698" w:rsidP="00CC269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Об утверждении внутреннего документа Общества: Положения о порядке формирования и использования фонда спонсорской поддержки и благотворительности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«Севкавказэнерго».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15"/>
              <w:gridCol w:w="197"/>
              <w:gridCol w:w="396"/>
              <w:gridCol w:w="254"/>
              <w:gridCol w:w="1472"/>
              <w:gridCol w:w="396"/>
              <w:gridCol w:w="368"/>
              <w:gridCol w:w="455"/>
              <w:gridCol w:w="1699"/>
              <w:gridCol w:w="140"/>
              <w:gridCol w:w="1841"/>
            </w:tblGrid>
            <w:tr w:rsidR="004F32B2" w:rsidTr="004F32B2">
              <w:trPr>
                <w:trHeight w:val="1156"/>
              </w:trPr>
              <w:tc>
                <w:tcPr>
                  <w:tcW w:w="5553" w:type="dxa"/>
                  <w:gridSpan w:val="8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Директор Департамента корпоративного управления и взаимодействия с акционерами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  <w:t>ПАО «МРСК Северного Кавказа»</w:t>
                  </w:r>
                </w:p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(на основании доверенности от 12.11.2015 № 361)</w:t>
                  </w:r>
                </w:p>
              </w:tc>
              <w:tc>
                <w:tcPr>
                  <w:tcW w:w="1699" w:type="dxa"/>
                  <w:vAlign w:val="bottom"/>
                </w:tcPr>
                <w:p w:rsidR="004F32B2" w:rsidRDefault="004F32B2" w:rsidP="004F32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М.Х. Кумукова</w:t>
                  </w:r>
                </w:p>
              </w:tc>
            </w:tr>
            <w:tr w:rsidR="004F32B2" w:rsidRPr="00F3211B" w:rsidTr="004F32B2">
              <w:trPr>
                <w:trHeight w:val="281"/>
              </w:trPr>
              <w:tc>
                <w:tcPr>
                  <w:tcW w:w="5553" w:type="dxa"/>
                  <w:gridSpan w:val="8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32B2" w:rsidRPr="00F3211B" w:rsidTr="004F32B2">
              <w:trPr>
                <w:trHeight w:val="531"/>
              </w:trPr>
              <w:tc>
                <w:tcPr>
                  <w:tcW w:w="2015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3.2. Дата</w:t>
                  </w:r>
                </w:p>
              </w:tc>
              <w:tc>
                <w:tcPr>
                  <w:tcW w:w="197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396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54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1472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396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5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99" w:type="dxa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1981" w:type="dxa"/>
                  <w:gridSpan w:val="2"/>
                  <w:vAlign w:val="bottom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32B2" w:rsidRPr="00F3211B" w:rsidRDefault="004F32B2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>
      <w:bookmarkStart w:id="0" w:name="_GoBack"/>
      <w:bookmarkEnd w:id="0"/>
    </w:p>
    <w:sectPr w:rsidR="0043579B" w:rsidSect="004F32B2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46" w:rsidRDefault="009C3C46" w:rsidP="005E291F">
      <w:pPr>
        <w:spacing w:after="0" w:line="240" w:lineRule="auto"/>
      </w:pPr>
      <w:r>
        <w:separator/>
      </w:r>
    </w:p>
  </w:endnote>
  <w:endnote w:type="continuationSeparator" w:id="0">
    <w:p w:rsidR="009C3C46" w:rsidRDefault="009C3C46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46" w:rsidRDefault="009C3C46" w:rsidP="005E291F">
      <w:pPr>
        <w:spacing w:after="0" w:line="240" w:lineRule="auto"/>
      </w:pPr>
      <w:r>
        <w:separator/>
      </w:r>
    </w:p>
  </w:footnote>
  <w:footnote w:type="continuationSeparator" w:id="0">
    <w:p w:rsidR="009C3C46" w:rsidRDefault="009C3C46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B2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61A06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B015A"/>
    <w:rsid w:val="004F32B2"/>
    <w:rsid w:val="005216C0"/>
    <w:rsid w:val="0059729E"/>
    <w:rsid w:val="005E291F"/>
    <w:rsid w:val="005F6BB7"/>
    <w:rsid w:val="006950E1"/>
    <w:rsid w:val="006C5AED"/>
    <w:rsid w:val="00701D8F"/>
    <w:rsid w:val="007532AE"/>
    <w:rsid w:val="007F78F3"/>
    <w:rsid w:val="009C3C46"/>
    <w:rsid w:val="009D0659"/>
    <w:rsid w:val="00A05873"/>
    <w:rsid w:val="00A45DBB"/>
    <w:rsid w:val="00B47FB3"/>
    <w:rsid w:val="00BB7219"/>
    <w:rsid w:val="00C20DE8"/>
    <w:rsid w:val="00C81017"/>
    <w:rsid w:val="00CC2698"/>
    <w:rsid w:val="00E15092"/>
    <w:rsid w:val="00EF1C9B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1502002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26</cp:revision>
  <cp:lastPrinted>2016-06-09T08:28:00Z</cp:lastPrinted>
  <dcterms:created xsi:type="dcterms:W3CDTF">2016-03-04T13:29:00Z</dcterms:created>
  <dcterms:modified xsi:type="dcterms:W3CDTF">2016-06-09T08:29:00Z</dcterms:modified>
</cp:coreProperties>
</file>